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276" w:lineRule="auto"/>
        <w:jc w:val="center"/>
        <w:rPr>
          <w:rFonts w:hint="eastAsia" w:ascii="黑体" w:hAnsi="黑体" w:eastAsia="黑体" w:cs="黑体"/>
          <w:color w:val="auto"/>
          <w:sz w:val="44"/>
          <w:szCs w:val="44"/>
          <w:shd w:val="clear" w:color="auto" w:fill="FFFFFF"/>
        </w:rPr>
      </w:pPr>
      <w:r>
        <w:rPr>
          <w:rFonts w:hint="eastAsia" w:ascii="黑体" w:hAnsi="黑体" w:eastAsia="黑体" w:cs="黑体"/>
          <w:color w:val="auto"/>
          <w:sz w:val="44"/>
          <w:szCs w:val="44"/>
          <w:shd w:val="clear" w:color="auto" w:fill="FFFFFF"/>
        </w:rPr>
        <w:t>东莞市海绵城市规划建设管理办法</w:t>
      </w:r>
    </w:p>
    <w:p>
      <w:pPr>
        <w:pStyle w:val="7"/>
        <w:shd w:val="clear" w:color="auto" w:fill="FFFFFF"/>
        <w:spacing w:before="0" w:beforeAutospacing="0" w:after="0" w:afterAutospacing="0" w:line="276" w:lineRule="auto"/>
        <w:jc w:val="cente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征求意见</w:t>
      </w:r>
      <w:r>
        <w:rPr>
          <w:rFonts w:hint="eastAsia" w:ascii="仿宋_GB2312" w:hAnsi="仿宋_GB2312" w:eastAsia="仿宋_GB2312" w:cs="仿宋_GB2312"/>
          <w:color w:val="auto"/>
          <w:sz w:val="32"/>
          <w:szCs w:val="32"/>
          <w:shd w:val="clear" w:color="auto" w:fill="FFFFFF"/>
        </w:rPr>
        <w:t>稿）</w:t>
      </w:r>
    </w:p>
    <w:p>
      <w:pPr>
        <w:pStyle w:val="7"/>
        <w:shd w:val="clear" w:color="auto" w:fill="FFFFFF"/>
        <w:spacing w:before="312" w:beforeLines="100" w:beforeAutospacing="0" w:after="312" w:afterLines="100" w:afterAutospacing="0" w:line="276" w:lineRule="auto"/>
        <w:jc w:val="center"/>
        <w:rPr>
          <w:rFonts w:hint="eastAsia" w:ascii="黑体" w:hAnsi="黑体" w:eastAsia="黑体" w:cs="黑体"/>
          <w:b/>
          <w:bCs/>
          <w:color w:val="auto"/>
          <w:sz w:val="32"/>
          <w:szCs w:val="32"/>
          <w:shd w:val="clear" w:color="auto" w:fill="FFFFFF"/>
        </w:rPr>
      </w:pPr>
      <w:r>
        <w:rPr>
          <w:rFonts w:hint="eastAsia" w:ascii="黑体" w:hAnsi="黑体" w:eastAsia="黑体" w:cs="黑体"/>
          <w:b/>
          <w:bCs/>
          <w:color w:val="auto"/>
          <w:sz w:val="32"/>
          <w:szCs w:val="32"/>
          <w:shd w:val="clear" w:color="auto" w:fill="FFFFFF"/>
        </w:rPr>
        <w:t>第一章</w:t>
      </w:r>
      <w:r>
        <w:rPr>
          <w:rFonts w:ascii="黑体" w:hAnsi="黑体" w:eastAsia="黑体" w:cs="黑体"/>
          <w:b/>
          <w:bCs/>
          <w:color w:val="auto"/>
          <w:sz w:val="32"/>
          <w:szCs w:val="32"/>
          <w:shd w:val="clear" w:color="auto" w:fill="FFFFFF"/>
        </w:rPr>
        <w:t xml:space="preserve">  </w:t>
      </w:r>
      <w:r>
        <w:rPr>
          <w:rFonts w:hint="eastAsia" w:ascii="黑体" w:hAnsi="黑体" w:eastAsia="黑体" w:cs="黑体"/>
          <w:b/>
          <w:bCs/>
          <w:color w:val="auto"/>
          <w:sz w:val="32"/>
          <w:szCs w:val="32"/>
          <w:shd w:val="clear" w:color="auto" w:fill="FFFFFF"/>
        </w:rPr>
        <w:t>总</w:t>
      </w:r>
      <w:r>
        <w:rPr>
          <w:rFonts w:ascii="黑体" w:hAnsi="黑体" w:eastAsia="黑体" w:cs="黑体"/>
          <w:b/>
          <w:bCs/>
          <w:color w:val="auto"/>
          <w:sz w:val="32"/>
          <w:szCs w:val="32"/>
          <w:shd w:val="clear" w:color="auto" w:fill="FFFFFF"/>
        </w:rPr>
        <w:t xml:space="preserve"> </w:t>
      </w:r>
      <w:r>
        <w:rPr>
          <w:rFonts w:hint="eastAsia" w:ascii="黑体" w:hAnsi="黑体" w:eastAsia="黑体" w:cs="黑体"/>
          <w:b/>
          <w:bCs/>
          <w:color w:val="auto"/>
          <w:sz w:val="32"/>
          <w:szCs w:val="32"/>
          <w:shd w:val="clear" w:color="auto" w:fill="FFFFFF"/>
        </w:rPr>
        <w:t>则</w:t>
      </w:r>
    </w:p>
    <w:p>
      <w:pPr>
        <w:pStyle w:val="7"/>
        <w:shd w:val="clear" w:color="auto" w:fill="FFFFFF"/>
        <w:snapToGrid w:val="0"/>
        <w:spacing w:before="100" w:beforeAutospacing="1" w:after="100" w:afterAutospacing="1" w:line="360" w:lineRule="auto"/>
        <w:jc w:val="left"/>
        <w:rPr>
          <w:rFonts w:hint="eastAsia" w:ascii="仿宋" w:hAnsi="仿宋" w:eastAsia="仿宋" w:cs="仿宋_GB2312"/>
          <w:color w:val="auto"/>
          <w:sz w:val="28"/>
          <w:szCs w:val="28"/>
          <w:shd w:val="clear" w:color="auto" w:fill="FFFFFF"/>
        </w:rPr>
      </w:pPr>
      <w:r>
        <w:rPr>
          <w:rFonts w:hint="eastAsia" w:ascii="仿宋" w:hAnsi="仿宋" w:eastAsia="仿宋"/>
          <w:sz w:val="28"/>
          <w:szCs w:val="28"/>
        </w:rPr>
        <w:t>　</w:t>
      </w:r>
      <w:r>
        <w:rPr>
          <w:rFonts w:hint="eastAsia" w:ascii="仿宋" w:hAnsi="仿宋" w:eastAsia="仿宋" w:cs="仿宋_GB2312"/>
          <w:color w:val="auto"/>
          <w:sz w:val="28"/>
          <w:szCs w:val="28"/>
          <w:shd w:val="clear" w:color="auto" w:fill="FFFFFF"/>
        </w:rPr>
        <w:t>　</w:t>
      </w:r>
      <w:r>
        <w:rPr>
          <w:rFonts w:hint="eastAsia" w:ascii="黑体" w:hAnsi="黑体" w:eastAsia="黑体" w:cs="仿宋_GB2312"/>
          <w:b/>
          <w:bCs/>
          <w:color w:val="auto"/>
          <w:sz w:val="28"/>
          <w:szCs w:val="28"/>
          <w:shd w:val="clear" w:color="auto" w:fill="FFFFFF"/>
        </w:rPr>
        <w:t>第一条</w:t>
      </w:r>
      <w:r>
        <w:rPr>
          <w:rFonts w:hint="eastAsia" w:ascii="仿宋" w:hAnsi="仿宋" w:eastAsia="仿宋" w:cs="仿宋_GB2312"/>
          <w:color w:val="auto"/>
          <w:sz w:val="28"/>
          <w:szCs w:val="28"/>
          <w:shd w:val="clear" w:color="auto" w:fill="FFFFFF"/>
        </w:rPr>
        <w:t>（指导思想）以习近平新时代中国特色社会主义思想为指导，为建设海绵城市、韧性城市，因地制宜提升城市防洪排涝能力，用统筹的方式、系统的方法解决城市内涝问题，根据</w:t>
      </w:r>
      <w:r>
        <w:rPr>
          <w:rFonts w:hint="eastAsia" w:ascii="仿宋" w:hAnsi="仿宋" w:eastAsia="仿宋" w:cs="仿宋_GB2312"/>
          <w:color w:val="auto"/>
          <w:sz w:val="28"/>
          <w:szCs w:val="28"/>
          <w:highlight w:val="none"/>
          <w:shd w:val="clear" w:color="auto" w:fill="FFFFFF"/>
        </w:rPr>
        <w:t>《中华人民共和国城乡规划法》</w:t>
      </w:r>
      <w:r>
        <w:rPr>
          <w:rFonts w:hint="eastAsia" w:ascii="仿宋" w:hAnsi="仿宋" w:eastAsia="仿宋" w:cs="仿宋_GB2312"/>
          <w:color w:val="auto"/>
          <w:sz w:val="28"/>
          <w:szCs w:val="28"/>
          <w:shd w:val="clear" w:color="auto" w:fill="FFFFFF"/>
        </w:rPr>
        <w:t>《城镇排水与污水处理条例》（国务院令第</w:t>
      </w:r>
      <w:r>
        <w:rPr>
          <w:rFonts w:ascii="仿宋" w:hAnsi="仿宋" w:eastAsia="仿宋" w:cs="仿宋_GB2312"/>
          <w:color w:val="auto"/>
          <w:sz w:val="28"/>
          <w:szCs w:val="28"/>
          <w:shd w:val="clear" w:color="auto" w:fill="FFFFFF"/>
        </w:rPr>
        <w:t>641号）</w:t>
      </w:r>
      <w:r>
        <w:rPr>
          <w:rFonts w:hint="eastAsia" w:ascii="仿宋" w:hAnsi="仿宋" w:eastAsia="仿宋" w:cs="仿宋_GB2312"/>
          <w:color w:val="auto"/>
          <w:sz w:val="28"/>
          <w:szCs w:val="28"/>
          <w:shd w:val="clear" w:color="auto" w:fill="FFFFFF"/>
        </w:rPr>
        <w:t>《国务院办公厅关于推进海绵城市建设的指导意见》（国办发〔</w:t>
      </w:r>
      <w:r>
        <w:rPr>
          <w:rFonts w:ascii="仿宋" w:hAnsi="仿宋" w:eastAsia="仿宋" w:cs="仿宋_GB2312"/>
          <w:color w:val="auto"/>
          <w:sz w:val="28"/>
          <w:szCs w:val="28"/>
          <w:shd w:val="clear" w:color="auto" w:fill="FFFFFF"/>
        </w:rPr>
        <w:t>2015〕75号）</w:t>
      </w:r>
      <w:r>
        <w:rPr>
          <w:rFonts w:hint="eastAsia" w:ascii="仿宋" w:hAnsi="仿宋" w:eastAsia="仿宋" w:cs="仿宋_GB2312"/>
          <w:color w:val="auto"/>
          <w:sz w:val="28"/>
          <w:szCs w:val="28"/>
          <w:shd w:val="clear" w:color="auto" w:fill="FFFFFF"/>
        </w:rPr>
        <w:t>《国务院办公厅关于加强城市内涝治理的实施意见》（国办发〔2021〕11号）《东莞市排水管理办法》（东水务〔</w:t>
      </w:r>
      <w:r>
        <w:rPr>
          <w:rFonts w:ascii="仿宋" w:hAnsi="仿宋" w:eastAsia="仿宋" w:cs="仿宋_GB2312"/>
          <w:color w:val="auto"/>
          <w:sz w:val="28"/>
          <w:szCs w:val="28"/>
          <w:shd w:val="clear" w:color="auto" w:fill="FFFFFF"/>
        </w:rPr>
        <w:t>20</w:t>
      </w:r>
      <w:r>
        <w:rPr>
          <w:rFonts w:hint="eastAsia" w:ascii="仿宋" w:hAnsi="仿宋" w:eastAsia="仿宋" w:cs="仿宋_GB2312"/>
          <w:color w:val="auto"/>
          <w:sz w:val="28"/>
          <w:szCs w:val="28"/>
          <w:shd w:val="clear" w:color="auto" w:fill="FFFFFF"/>
        </w:rPr>
        <w:t>20</w:t>
      </w:r>
      <w:r>
        <w:rPr>
          <w:rFonts w:ascii="仿宋" w:hAnsi="仿宋" w:eastAsia="仿宋" w:cs="仿宋_GB2312"/>
          <w:color w:val="auto"/>
          <w:sz w:val="28"/>
          <w:szCs w:val="28"/>
          <w:shd w:val="clear" w:color="auto" w:fill="FFFFFF"/>
        </w:rPr>
        <w:t>〕</w:t>
      </w:r>
      <w:r>
        <w:rPr>
          <w:rFonts w:hint="eastAsia" w:ascii="仿宋" w:hAnsi="仿宋" w:eastAsia="仿宋" w:cs="仿宋_GB2312"/>
          <w:color w:val="auto"/>
          <w:sz w:val="28"/>
          <w:szCs w:val="28"/>
          <w:shd w:val="clear" w:color="auto" w:fill="FFFFFF"/>
        </w:rPr>
        <w:t>124</w:t>
      </w:r>
      <w:r>
        <w:rPr>
          <w:rFonts w:ascii="仿宋" w:hAnsi="仿宋" w:eastAsia="仿宋" w:cs="仿宋_GB2312"/>
          <w:color w:val="auto"/>
          <w:sz w:val="28"/>
          <w:szCs w:val="28"/>
          <w:shd w:val="clear" w:color="auto" w:fill="FFFFFF"/>
        </w:rPr>
        <w:t>号</w:t>
      </w:r>
      <w:r>
        <w:rPr>
          <w:rFonts w:hint="eastAsia" w:ascii="仿宋" w:hAnsi="仿宋" w:eastAsia="仿宋" w:cs="仿宋_GB2312"/>
          <w:color w:val="auto"/>
          <w:sz w:val="28"/>
          <w:szCs w:val="28"/>
          <w:shd w:val="clear" w:color="auto" w:fill="FFFFFF"/>
        </w:rPr>
        <w:t>）等有关文件</w:t>
      </w:r>
      <w:r>
        <w:rPr>
          <w:rFonts w:ascii="仿宋" w:hAnsi="仿宋" w:eastAsia="仿宋" w:cs="仿宋_GB2312"/>
          <w:color w:val="auto"/>
          <w:sz w:val="28"/>
          <w:szCs w:val="28"/>
          <w:shd w:val="clear" w:color="auto" w:fill="FFFFFF"/>
        </w:rPr>
        <w:t>，</w:t>
      </w:r>
      <w:r>
        <w:rPr>
          <w:rFonts w:hint="eastAsia" w:ascii="仿宋" w:hAnsi="仿宋" w:eastAsia="仿宋" w:cs="仿宋_GB2312"/>
          <w:color w:val="auto"/>
          <w:sz w:val="28"/>
          <w:szCs w:val="28"/>
          <w:shd w:val="clear" w:color="auto" w:fill="FFFFFF"/>
        </w:rPr>
        <w:t>结合本市实际，</w:t>
      </w:r>
      <w:r>
        <w:rPr>
          <w:rFonts w:ascii="仿宋" w:hAnsi="仿宋" w:eastAsia="仿宋" w:cs="仿宋_GB2312"/>
          <w:color w:val="auto"/>
          <w:sz w:val="28"/>
          <w:szCs w:val="28"/>
          <w:shd w:val="clear" w:color="auto" w:fill="FFFFFF"/>
        </w:rPr>
        <w:t>制定本办法。</w:t>
      </w:r>
    </w:p>
    <w:p>
      <w:pPr>
        <w:pStyle w:val="7"/>
        <w:snapToGrid w:val="0"/>
        <w:spacing w:before="0" w:beforeAutospacing="0" w:after="0" w:afterAutospacing="0" w:line="360" w:lineRule="auto"/>
        <w:ind w:firstLine="562" w:firstLineChars="200"/>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第二条</w:t>
      </w:r>
      <w:r>
        <w:rPr>
          <w:rFonts w:hint="eastAsia" w:ascii="仿宋" w:hAnsi="仿宋" w:eastAsia="仿宋" w:cs="仿宋_GB2312"/>
          <w:color w:val="auto"/>
          <w:sz w:val="28"/>
          <w:szCs w:val="28"/>
          <w:shd w:val="clear" w:color="auto" w:fill="FFFFFF"/>
        </w:rPr>
        <w:t>（工作目标）到2025年，东莞市基本形成“源头减排、管网排放、蓄排并举、超标应急”的城市排水防涝工程体系，排水防涝能力显著提升，内涝治理工作取得明显成效；有效应对城市内涝防治标准内的降雨，老城区雨停后能够及时排干积水，低洼地区防洪排涝能力大幅提升，历史上严重影响生产生活秩序的易涝积水点全面消除，新城区不再出现“城市看海”现象；在超出城市内涝防治标准的降雨条件下，城市生命线工程等重要市政基础设施功能不丧失，基本保障城市安全运行；有条件的地方积极推进海绵城市建设。到2035年，东莞市排水防涝工程体系进一步完善，排水防涝能力与建设海绵城市、韧性城市要求更加匹配，总体消除防治标准内降雨条件下的城市内涝现象。</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第三条</w:t>
      </w:r>
      <w:r>
        <w:rPr>
          <w:rFonts w:hint="eastAsia" w:ascii="仿宋" w:hAnsi="仿宋" w:eastAsia="仿宋" w:cs="仿宋_GB2312"/>
          <w:color w:val="auto"/>
          <w:sz w:val="28"/>
          <w:szCs w:val="28"/>
          <w:shd w:val="clear" w:color="auto" w:fill="FFFFFF"/>
        </w:rPr>
        <w:t>（适用范围）本办法适用于本市行政区域内各类建设项目的海绵城市设施的规划、设计、建设、运行维护及管理活动，包括新、改、扩建的建设项目，以及城市更新、环境提升等改造类项目。列入海绵城市建设豁免清单的项目不以年径流总量控制率为刚性目标，但应本着应做尽做的原则，因地制宜建设海绵城市设施。</w:t>
      </w:r>
    </w:p>
    <w:p>
      <w:pPr>
        <w:pStyle w:val="7"/>
        <w:shd w:val="clear" w:color="auto" w:fill="FFFFFF"/>
        <w:snapToGrid w:val="0"/>
        <w:spacing w:before="0" w:beforeAutospacing="0" w:after="0" w:afterAutospacing="0" w:line="360" w:lineRule="auto"/>
        <w:ind w:firstLine="562" w:firstLineChars="200"/>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第四条</w:t>
      </w:r>
      <w:r>
        <w:rPr>
          <w:rFonts w:hint="eastAsia" w:ascii="仿宋" w:hAnsi="仿宋" w:eastAsia="仿宋" w:cs="仿宋_GB2312"/>
          <w:color w:val="auto"/>
          <w:sz w:val="28"/>
          <w:szCs w:val="28"/>
          <w:shd w:val="clear" w:color="auto" w:fill="FFFFFF"/>
        </w:rPr>
        <w:t>（遵循原则）海绵城市是指通过加强城市规划建设管理，充分发挥建筑、道路、排水防涝设施和绿地、水系等生态系统对雨水的吸纳、蓄渗和缓释作用，有效控制雨水径流，实现自然积存、自然渗透、自然净化的城市发展方式。海绵城市建设应坚持“规划引领、生态优先、灰绿结合、经济适用、因地制宜”的基本原则，系统考虑从源头到末端的全过程雨水水量和水质的控制和管理。建设项目海绵城市设施应与主体工程同时规划、同时设计、同时施工、同时使用。</w:t>
      </w:r>
    </w:p>
    <w:p>
      <w:pPr>
        <w:pStyle w:val="7"/>
        <w:shd w:val="clear" w:color="auto" w:fill="FFFFFF"/>
        <w:snapToGrid w:val="0"/>
        <w:spacing w:before="0" w:beforeAutospacing="0" w:after="0" w:afterAutospacing="0" w:line="360" w:lineRule="auto"/>
        <w:ind w:firstLine="560" w:firstLineChars="200"/>
        <w:jc w:val="both"/>
        <w:rPr>
          <w:rFonts w:hint="eastAsia" w:ascii="仿宋" w:hAnsi="仿宋" w:eastAsia="仿宋" w:cs="仿宋_GB2312"/>
          <w:color w:val="auto"/>
          <w:sz w:val="28"/>
          <w:szCs w:val="28"/>
          <w:shd w:val="clear" w:color="auto" w:fill="FFFFFF"/>
        </w:rPr>
      </w:pPr>
      <w:r>
        <w:rPr>
          <w:rFonts w:hint="eastAsia" w:ascii="仿宋" w:hAnsi="仿宋" w:eastAsia="仿宋" w:cs="仿宋_GB2312"/>
          <w:color w:val="auto"/>
          <w:sz w:val="28"/>
          <w:szCs w:val="28"/>
          <w:shd w:val="clear" w:color="auto" w:fill="FFFFFF"/>
        </w:rPr>
        <w:t>新、改、扩建项目的排水设施须按照雨污分流体制建设。当地区整体改建时，对于相同的设计重现期，改建后的径流量不得超过原有径流量。</w:t>
      </w:r>
    </w:p>
    <w:p>
      <w:pPr>
        <w:widowControl/>
        <w:shd w:val="clear" w:color="auto" w:fill="FFFFFF"/>
        <w:snapToGrid w:val="0"/>
        <w:spacing w:line="360" w:lineRule="auto"/>
        <w:ind w:firstLine="562" w:firstLineChars="200"/>
        <w:rPr>
          <w:rFonts w:hint="eastAsia" w:ascii="仿宋" w:hAnsi="仿宋" w:eastAsia="仿宋" w:cs="Times New Roman"/>
          <w:bCs/>
          <w:color w:val="auto"/>
          <w:sz w:val="28"/>
          <w:szCs w:val="28"/>
          <w:shd w:val="clear" w:color="auto" w:fill="FFFFFF"/>
        </w:rPr>
      </w:pPr>
      <w:r>
        <w:rPr>
          <w:rFonts w:hint="eastAsia" w:ascii="黑体" w:hAnsi="黑体" w:eastAsia="黑体" w:cs="仿宋_GB2312"/>
          <w:b/>
          <w:bCs/>
          <w:color w:val="auto"/>
          <w:kern w:val="0"/>
          <w:sz w:val="28"/>
          <w:szCs w:val="28"/>
          <w:shd w:val="clear" w:color="auto" w:fill="FFFFFF"/>
        </w:rPr>
        <w:t>第五条</w:t>
      </w:r>
      <w:r>
        <w:rPr>
          <w:rFonts w:hint="eastAsia" w:ascii="仿宋" w:hAnsi="仿宋" w:eastAsia="仿宋" w:cs="仿宋_GB2312"/>
          <w:b/>
          <w:color w:val="auto"/>
          <w:kern w:val="0"/>
          <w:sz w:val="28"/>
          <w:szCs w:val="28"/>
          <w:shd w:val="clear" w:color="auto" w:fill="FFFFFF"/>
        </w:rPr>
        <w:t>（系统构成）</w:t>
      </w:r>
      <w:r>
        <w:rPr>
          <w:rFonts w:hint="eastAsia" w:ascii="仿宋" w:hAnsi="仿宋" w:eastAsia="仿宋" w:cs="Times New Roman"/>
          <w:bCs/>
          <w:color w:val="auto"/>
          <w:sz w:val="28"/>
          <w:szCs w:val="28"/>
          <w:shd w:val="clear" w:color="auto" w:fill="FFFFFF"/>
        </w:rPr>
        <w:t>本规定所称的海绵城市设施，即海绵城市源头减排设施、雨水管渠设施和排涝除险设施，包括生物滞留设施、植草沟、绿色屋顶、调蓄设施、透水路面、雨水排水管道、雨水排水箱涵、沟渠、排涝泵站、河流、湖泊、池塘、开敞的洪水通道、规划预留的雨水行泄通道、道路两侧区域和其他排水通道等。</w:t>
      </w:r>
    </w:p>
    <w:p>
      <w:pPr>
        <w:pStyle w:val="7"/>
        <w:shd w:val="clear" w:color="auto" w:fill="FFFFFF"/>
        <w:spacing w:before="312" w:beforeLines="100" w:beforeAutospacing="0" w:after="312" w:afterLines="100" w:afterAutospacing="0" w:line="276" w:lineRule="auto"/>
        <w:jc w:val="center"/>
        <w:rPr>
          <w:rFonts w:hint="eastAsia" w:ascii="黑体" w:hAnsi="黑体" w:eastAsia="黑体" w:cs="黑体"/>
          <w:b/>
          <w:bCs/>
          <w:color w:val="auto"/>
          <w:sz w:val="32"/>
          <w:szCs w:val="32"/>
          <w:shd w:val="clear" w:color="auto" w:fill="FFFFFF"/>
        </w:rPr>
      </w:pPr>
      <w:r>
        <w:rPr>
          <w:rFonts w:hint="eastAsia" w:ascii="黑体" w:hAnsi="黑体" w:eastAsia="黑体" w:cs="黑体"/>
          <w:b/>
          <w:bCs/>
          <w:color w:val="auto"/>
          <w:sz w:val="32"/>
          <w:szCs w:val="32"/>
          <w:shd w:val="clear" w:color="auto" w:fill="FFFFFF"/>
        </w:rPr>
        <w:t>第二章</w:t>
      </w:r>
      <w:r>
        <w:rPr>
          <w:rFonts w:ascii="黑体" w:hAnsi="黑体" w:eastAsia="黑体" w:cs="黑体"/>
          <w:b/>
          <w:bCs/>
          <w:color w:val="auto"/>
          <w:sz w:val="32"/>
          <w:szCs w:val="32"/>
          <w:shd w:val="clear" w:color="auto" w:fill="FFFFFF"/>
        </w:rPr>
        <w:t xml:space="preserve"> </w:t>
      </w:r>
      <w:r>
        <w:rPr>
          <w:rFonts w:hint="eastAsia" w:ascii="黑体" w:hAnsi="黑体" w:eastAsia="黑体" w:cs="黑体"/>
          <w:b/>
          <w:bCs/>
          <w:color w:val="auto"/>
          <w:sz w:val="32"/>
          <w:szCs w:val="32"/>
          <w:shd w:val="clear" w:color="auto" w:fill="FFFFFF"/>
        </w:rPr>
        <w:t xml:space="preserve"> 规划、立项、设计管理</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第六条</w:t>
      </w:r>
      <w:bookmarkStart w:id="0" w:name="_Hlk16024463"/>
      <w:r>
        <w:rPr>
          <w:rFonts w:hint="eastAsia" w:ascii="仿宋" w:hAnsi="仿宋" w:eastAsia="仿宋" w:cs="仿宋_GB2312"/>
          <w:color w:val="auto"/>
          <w:sz w:val="28"/>
          <w:szCs w:val="28"/>
          <w:shd w:val="clear" w:color="auto" w:fill="FFFFFF"/>
        </w:rPr>
        <w:t>（规划编制）</w:t>
      </w:r>
      <w:bookmarkEnd w:id="0"/>
      <w:r>
        <w:rPr>
          <w:rFonts w:hint="eastAsia" w:ascii="仿宋" w:hAnsi="仿宋" w:eastAsia="仿宋" w:cs="仿宋_GB2312"/>
          <w:color w:val="auto"/>
          <w:sz w:val="28"/>
          <w:szCs w:val="28"/>
          <w:shd w:val="clear" w:color="auto" w:fill="FFFFFF"/>
        </w:rPr>
        <w:t>海绵城市专项规划包含市级、镇级海绵城市专项规划（或详细规划）。自然资源或规划部门会同水务、生态环境、住房城乡建设、城市管理和综合执法、交通运输、应急管理、交警、林业、气象等相关单位，组织修编本辖区海绵城市专项规划。</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仿宋" w:hAnsi="仿宋" w:eastAsia="仿宋" w:cs="仿宋_GB2312"/>
          <w:color w:val="auto"/>
          <w:sz w:val="28"/>
          <w:szCs w:val="28"/>
          <w:shd w:val="clear" w:color="auto" w:fill="FFFFFF"/>
        </w:rPr>
        <w:t>各园区、镇（街）的海绵城市专项规划（详细规划）应分解和落实全市海绵城市专项规划中年径流总量控制率等海绵城市指标，明确各园区、镇（街）的海绵城市及排水防涝建设目标、建设方案及年度计划，指导近、远期海绵城市建设。</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仿宋" w:hAnsi="仿宋" w:eastAsia="仿宋" w:cs="仿宋_GB2312"/>
          <w:color w:val="auto"/>
          <w:sz w:val="28"/>
          <w:szCs w:val="28"/>
          <w:shd w:val="clear" w:color="auto" w:fill="FFFFFF"/>
        </w:rPr>
        <w:t>海绵城市专项规划由同级人民政府审批，批准后由自然资源部门按照有关规定纳入“多规合一”管理平台。</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第七条</w:t>
      </w:r>
      <w:r>
        <w:rPr>
          <w:rFonts w:hint="eastAsia" w:ascii="仿宋" w:hAnsi="仿宋" w:eastAsia="仿宋" w:cs="仿宋_GB2312"/>
          <w:color w:val="auto"/>
          <w:sz w:val="28"/>
          <w:szCs w:val="28"/>
          <w:shd w:val="clear" w:color="auto" w:fill="FFFFFF"/>
        </w:rPr>
        <w:t>（规划衔接）海绵城市专项规划的编制应当依据批准的国土空间规划，做好规划衔接工作，原则上不得违背国土空间规划强制性内容。各园区、镇（街）在编制或修改控制性详细规划时，应当依据辖区海绵城市专项规划（详细规划），明确各地块雨水年径流总量控制率、雨水管渠设计标准、内涝防治标准等管控指标。</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ascii="仿宋" w:hAnsi="仿宋" w:eastAsia="仿宋" w:cs="仿宋_GB2312"/>
          <w:color w:val="auto"/>
          <w:sz w:val="28"/>
          <w:szCs w:val="28"/>
          <w:shd w:val="clear" w:color="auto" w:fill="FFFFFF"/>
        </w:rPr>
        <w:t>编制或修编城市竖向、排水防涝、道路、绿地、水系等专项规划时，应与海绵城市专项规划充分衔接，落实海绵城市建设内容和相关指标要求</w:t>
      </w:r>
      <w:r>
        <w:rPr>
          <w:rFonts w:hint="eastAsia" w:ascii="仿宋" w:hAnsi="仿宋" w:eastAsia="仿宋" w:cs="仿宋_GB2312"/>
          <w:color w:val="auto"/>
          <w:sz w:val="28"/>
          <w:szCs w:val="28"/>
          <w:shd w:val="clear" w:color="auto" w:fill="FFFFFF"/>
        </w:rPr>
        <w:t>。</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第八条</w:t>
      </w:r>
      <w:r>
        <w:rPr>
          <w:rFonts w:hint="eastAsia" w:ascii="仿宋" w:hAnsi="仿宋" w:eastAsia="仿宋" w:cs="仿宋_GB2312"/>
          <w:color w:val="auto"/>
          <w:sz w:val="28"/>
          <w:szCs w:val="28"/>
          <w:shd w:val="clear" w:color="auto" w:fill="FFFFFF"/>
        </w:rPr>
        <w:t>（立项）本市行政区域内各类建设项目（建筑与小区类用地面积需超过</w:t>
      </w:r>
      <w:r>
        <w:rPr>
          <w:rFonts w:ascii="仿宋" w:hAnsi="仿宋" w:eastAsia="仿宋" w:cs="仿宋_GB2312"/>
          <w:color w:val="auto"/>
          <w:sz w:val="28"/>
          <w:szCs w:val="28"/>
          <w:shd w:val="clear" w:color="auto" w:fill="FFFFFF"/>
        </w:rPr>
        <w:t>2公顷</w:t>
      </w:r>
      <w:r>
        <w:rPr>
          <w:rFonts w:hint="eastAsia" w:ascii="仿宋" w:hAnsi="仿宋" w:eastAsia="仿宋" w:cs="仿宋_GB2312"/>
          <w:color w:val="auto"/>
          <w:sz w:val="28"/>
          <w:szCs w:val="28"/>
          <w:shd w:val="clear" w:color="auto" w:fill="FFFFFF"/>
        </w:rPr>
        <w:t>）</w:t>
      </w:r>
      <w:r>
        <w:rPr>
          <w:rFonts w:ascii="仿宋" w:hAnsi="仿宋" w:eastAsia="仿宋" w:cs="仿宋_GB2312"/>
          <w:color w:val="auto"/>
          <w:sz w:val="28"/>
          <w:szCs w:val="28"/>
          <w:shd w:val="clear" w:color="auto" w:fill="FFFFFF"/>
        </w:rPr>
        <w:t>的新建、改建和扩建工程，应在项目可行性研究报告中编制</w:t>
      </w:r>
      <w:r>
        <w:rPr>
          <w:rFonts w:hint="eastAsia" w:ascii="仿宋" w:hAnsi="仿宋" w:eastAsia="仿宋" w:cs="仿宋_GB2312"/>
          <w:color w:val="auto"/>
          <w:sz w:val="28"/>
          <w:szCs w:val="28"/>
          <w:shd w:val="clear" w:color="auto" w:fill="FFFFFF"/>
        </w:rPr>
        <w:t>海绵城市专篇</w:t>
      </w:r>
      <w:r>
        <w:rPr>
          <w:rFonts w:ascii="仿宋" w:hAnsi="仿宋" w:eastAsia="仿宋" w:cs="仿宋_GB2312"/>
          <w:color w:val="auto"/>
          <w:sz w:val="28"/>
          <w:szCs w:val="28"/>
          <w:shd w:val="clear" w:color="auto" w:fill="FFFFFF"/>
        </w:rPr>
        <w:t>。可行性研究报告结论中，应明确</w:t>
      </w:r>
      <w:r>
        <w:rPr>
          <w:rFonts w:hint="eastAsia" w:ascii="仿宋" w:hAnsi="仿宋" w:eastAsia="仿宋" w:cs="仿宋_GB2312"/>
          <w:color w:val="auto"/>
          <w:sz w:val="28"/>
          <w:szCs w:val="28"/>
          <w:shd w:val="clear" w:color="auto" w:fill="FFFFFF"/>
        </w:rPr>
        <w:t>海绵城市及排水防涝建设</w:t>
      </w:r>
      <w:r>
        <w:rPr>
          <w:rFonts w:ascii="仿宋" w:hAnsi="仿宋" w:eastAsia="仿宋" w:cs="仿宋_GB2312"/>
          <w:color w:val="auto"/>
          <w:sz w:val="28"/>
          <w:szCs w:val="28"/>
          <w:shd w:val="clear" w:color="auto" w:fill="FFFFFF"/>
        </w:rPr>
        <w:t>方案，并提出方案设计（或初步设计）阶段编制</w:t>
      </w:r>
      <w:r>
        <w:rPr>
          <w:rFonts w:hint="eastAsia" w:ascii="仿宋" w:hAnsi="仿宋" w:eastAsia="仿宋" w:cs="仿宋_GB2312"/>
          <w:color w:val="auto"/>
          <w:sz w:val="28"/>
          <w:szCs w:val="28"/>
          <w:shd w:val="clear" w:color="auto" w:fill="FFFFFF"/>
        </w:rPr>
        <w:t>海绵城市及排水防涝设计专篇</w:t>
      </w:r>
      <w:r>
        <w:rPr>
          <w:rFonts w:ascii="仿宋" w:hAnsi="仿宋" w:eastAsia="仿宋" w:cs="仿宋_GB2312"/>
          <w:color w:val="auto"/>
          <w:sz w:val="28"/>
          <w:szCs w:val="28"/>
          <w:shd w:val="clear" w:color="auto" w:fill="FFFFFF"/>
        </w:rPr>
        <w:t>的要求。</w:t>
      </w:r>
    </w:p>
    <w:p>
      <w:pPr>
        <w:pStyle w:val="7"/>
        <w:shd w:val="clear" w:color="auto" w:fill="FFFFFF"/>
        <w:snapToGrid w:val="0"/>
        <w:spacing w:before="0" w:beforeAutospacing="0" w:after="0" w:afterAutospacing="0" w:line="360" w:lineRule="auto"/>
        <w:ind w:firstLine="561"/>
        <w:jc w:val="both"/>
        <w:rPr>
          <w:rFonts w:hint="eastAsia" w:ascii="仿宋" w:hAnsi="仿宋" w:eastAsia="仿宋" w:cs="仿宋_GB2312"/>
          <w:color w:val="auto"/>
          <w:sz w:val="28"/>
          <w:szCs w:val="28"/>
          <w:shd w:val="clear" w:color="auto" w:fill="FFFFFF"/>
        </w:rPr>
      </w:pPr>
      <w:r>
        <w:rPr>
          <w:rFonts w:hint="eastAsia" w:ascii="仿宋" w:hAnsi="仿宋" w:eastAsia="仿宋" w:cs="仿宋_GB2312"/>
          <w:color w:val="auto"/>
          <w:sz w:val="28"/>
          <w:szCs w:val="28"/>
          <w:shd w:val="clear" w:color="auto" w:fill="FFFFFF"/>
        </w:rPr>
        <w:t>用地面积超过</w:t>
      </w:r>
      <w:r>
        <w:rPr>
          <w:rFonts w:ascii="仿宋" w:hAnsi="仿宋" w:eastAsia="仿宋" w:cs="仿宋_GB2312"/>
          <w:color w:val="auto"/>
          <w:sz w:val="28"/>
          <w:szCs w:val="28"/>
          <w:shd w:val="clear" w:color="auto" w:fill="FFFFFF"/>
        </w:rPr>
        <w:t>2公顷的</w:t>
      </w:r>
      <w:r>
        <w:rPr>
          <w:rFonts w:hint="eastAsia" w:ascii="仿宋" w:hAnsi="仿宋" w:eastAsia="仿宋" w:cs="仿宋_GB2312"/>
          <w:color w:val="auto"/>
          <w:sz w:val="28"/>
          <w:szCs w:val="28"/>
          <w:shd w:val="clear" w:color="auto" w:fill="FFFFFF"/>
        </w:rPr>
        <w:t>建筑与小区</w:t>
      </w:r>
      <w:r>
        <w:rPr>
          <w:rFonts w:ascii="仿宋" w:hAnsi="仿宋" w:eastAsia="仿宋" w:cs="仿宋_GB2312"/>
          <w:color w:val="auto"/>
          <w:sz w:val="28"/>
          <w:szCs w:val="28"/>
          <w:shd w:val="clear" w:color="auto" w:fill="FFFFFF"/>
        </w:rPr>
        <w:t>，</w:t>
      </w:r>
      <w:r>
        <w:rPr>
          <w:rFonts w:hint="eastAsia" w:ascii="仿宋" w:hAnsi="仿宋" w:eastAsia="仿宋" w:cs="仿宋_GB2312"/>
          <w:color w:val="auto"/>
          <w:sz w:val="28"/>
          <w:szCs w:val="28"/>
          <w:shd w:val="clear" w:color="auto" w:fill="FFFFFF"/>
        </w:rPr>
        <w:t>其可行性研究报告</w:t>
      </w:r>
      <w:r>
        <w:rPr>
          <w:rFonts w:ascii="仿宋" w:hAnsi="仿宋" w:eastAsia="仿宋" w:cs="仿宋_GB2312"/>
          <w:color w:val="auto"/>
          <w:sz w:val="28"/>
          <w:szCs w:val="28"/>
          <w:shd w:val="clear" w:color="auto" w:fill="FFFFFF"/>
        </w:rPr>
        <w:t>应</w:t>
      </w:r>
      <w:r>
        <w:rPr>
          <w:rFonts w:ascii="仿宋" w:hAnsi="仿宋" w:eastAsia="仿宋" w:cs="仿宋_GB2312"/>
          <w:color w:val="auto"/>
          <w:sz w:val="28"/>
          <w:szCs w:val="28"/>
          <w:highlight w:val="none"/>
          <w:shd w:val="clear" w:color="auto" w:fill="FFFFFF"/>
        </w:rPr>
        <w:t>有</w:t>
      </w:r>
      <w:r>
        <w:rPr>
          <w:rFonts w:hint="eastAsia" w:ascii="仿宋" w:hAnsi="仿宋" w:eastAsia="仿宋" w:cs="仿宋_GB2312"/>
          <w:color w:val="auto"/>
          <w:sz w:val="28"/>
          <w:szCs w:val="28"/>
          <w:highlight w:val="none"/>
          <w:shd w:val="clear" w:color="auto" w:fill="FFFFFF"/>
        </w:rPr>
        <w:t>针对该</w:t>
      </w:r>
      <w:r>
        <w:rPr>
          <w:rFonts w:ascii="仿宋" w:hAnsi="仿宋" w:eastAsia="仿宋" w:cs="仿宋_GB2312"/>
          <w:color w:val="auto"/>
          <w:sz w:val="28"/>
          <w:szCs w:val="28"/>
          <w:highlight w:val="none"/>
          <w:shd w:val="clear" w:color="auto" w:fill="FFFFFF"/>
        </w:rPr>
        <w:t>项目</w:t>
      </w:r>
      <w:r>
        <w:rPr>
          <w:rFonts w:hint="eastAsia" w:ascii="仿宋" w:hAnsi="仿宋" w:eastAsia="仿宋" w:cs="仿宋_GB2312"/>
          <w:color w:val="auto"/>
          <w:sz w:val="28"/>
          <w:szCs w:val="28"/>
          <w:highlight w:val="none"/>
          <w:shd w:val="clear" w:color="auto" w:fill="FFFFFF"/>
        </w:rPr>
        <w:t>对</w:t>
      </w:r>
      <w:r>
        <w:rPr>
          <w:rFonts w:ascii="仿宋" w:hAnsi="仿宋" w:eastAsia="仿宋" w:cs="仿宋_GB2312"/>
          <w:color w:val="auto"/>
          <w:sz w:val="28"/>
          <w:szCs w:val="28"/>
          <w:highlight w:val="none"/>
          <w:shd w:val="clear" w:color="auto" w:fill="FFFFFF"/>
        </w:rPr>
        <w:t>所在排水分区的内涝影响评估</w:t>
      </w:r>
      <w:r>
        <w:rPr>
          <w:rFonts w:hint="eastAsia" w:ascii="仿宋" w:hAnsi="仿宋" w:eastAsia="仿宋" w:cs="仿宋_GB2312"/>
          <w:color w:val="auto"/>
          <w:sz w:val="28"/>
          <w:szCs w:val="28"/>
          <w:highlight w:val="none"/>
          <w:shd w:val="clear" w:color="auto" w:fill="FFFFFF"/>
        </w:rPr>
        <w:t>分析和项目内部排水方案</w:t>
      </w:r>
      <w:r>
        <w:rPr>
          <w:rFonts w:hint="eastAsia" w:ascii="仿宋" w:hAnsi="仿宋" w:eastAsia="仿宋" w:cs="仿宋_GB2312"/>
          <w:color w:val="auto"/>
          <w:sz w:val="28"/>
          <w:szCs w:val="28"/>
          <w:shd w:val="clear" w:color="auto" w:fill="FFFFFF"/>
        </w:rPr>
        <w:t>；</w:t>
      </w:r>
      <w:r>
        <w:rPr>
          <w:rFonts w:hint="eastAsia" w:ascii="仿宋" w:hAnsi="仿宋" w:eastAsia="仿宋" w:cs="仿宋_GB2312"/>
          <w:color w:val="auto"/>
          <w:sz w:val="28"/>
          <w:szCs w:val="28"/>
          <w:highlight w:val="none"/>
          <w:shd w:val="clear" w:color="auto" w:fill="FFFFFF"/>
        </w:rPr>
        <w:t>道路及市政排水管线改迁类项目，其可行性研究报告</w:t>
      </w:r>
      <w:r>
        <w:rPr>
          <w:rFonts w:ascii="仿宋" w:hAnsi="仿宋" w:eastAsia="仿宋" w:cs="仿宋_GB2312"/>
          <w:color w:val="auto"/>
          <w:sz w:val="28"/>
          <w:szCs w:val="28"/>
          <w:highlight w:val="none"/>
          <w:shd w:val="clear" w:color="auto" w:fill="FFFFFF"/>
        </w:rPr>
        <w:t>应有</w:t>
      </w:r>
      <w:r>
        <w:rPr>
          <w:rFonts w:hint="eastAsia" w:ascii="仿宋" w:hAnsi="仿宋" w:eastAsia="仿宋" w:cs="仿宋_GB2312"/>
          <w:color w:val="auto"/>
          <w:sz w:val="28"/>
          <w:szCs w:val="28"/>
          <w:highlight w:val="none"/>
          <w:shd w:val="clear" w:color="auto" w:fill="FFFFFF"/>
        </w:rPr>
        <w:t>针对项目所在排水分区的排水承载力分析，以及区域上、下游管网的衔接分析。</w:t>
      </w:r>
      <w:r>
        <w:rPr>
          <w:rFonts w:hint="eastAsia" w:ascii="仿宋" w:hAnsi="仿宋" w:eastAsia="仿宋" w:cs="仿宋_GB2312"/>
          <w:color w:val="auto"/>
          <w:sz w:val="28"/>
          <w:szCs w:val="28"/>
          <w:shd w:val="clear" w:color="auto" w:fill="FFFFFF"/>
        </w:rPr>
        <w:t>根据评估结果，编制海绵城市及排水防涝设计方案，明确海绵城市及排水防涝设施的建设内容、规模、投资估算等；河道整治类项目，其</w:t>
      </w:r>
      <w:r>
        <w:rPr>
          <w:rFonts w:ascii="仿宋" w:hAnsi="仿宋" w:eastAsia="仿宋" w:cs="仿宋_GB2312"/>
          <w:color w:val="auto"/>
          <w:sz w:val="28"/>
          <w:szCs w:val="28"/>
          <w:shd w:val="clear" w:color="auto" w:fill="FFFFFF"/>
        </w:rPr>
        <w:t>项目建议书及</w:t>
      </w:r>
      <w:r>
        <w:rPr>
          <w:rFonts w:hint="eastAsia" w:ascii="仿宋" w:hAnsi="仿宋" w:eastAsia="仿宋" w:cs="仿宋_GB2312"/>
          <w:color w:val="auto"/>
          <w:sz w:val="28"/>
          <w:szCs w:val="28"/>
          <w:shd w:val="clear" w:color="auto" w:fill="FFFFFF"/>
        </w:rPr>
        <w:t>可行性研究报告</w:t>
      </w:r>
      <w:r>
        <w:rPr>
          <w:rFonts w:ascii="仿宋" w:hAnsi="仿宋" w:eastAsia="仿宋" w:cs="仿宋_GB2312"/>
          <w:color w:val="auto"/>
          <w:sz w:val="28"/>
          <w:szCs w:val="28"/>
          <w:shd w:val="clear" w:color="auto" w:fill="FFFFFF"/>
        </w:rPr>
        <w:t>应有</w:t>
      </w:r>
      <w:r>
        <w:rPr>
          <w:rFonts w:hint="eastAsia" w:ascii="仿宋" w:hAnsi="仿宋" w:eastAsia="仿宋" w:cs="仿宋_GB2312"/>
          <w:color w:val="auto"/>
          <w:sz w:val="28"/>
          <w:szCs w:val="28"/>
          <w:shd w:val="clear" w:color="auto" w:fill="FFFFFF"/>
        </w:rPr>
        <w:t>针对流域防洪排涝达标、生态岸线比例等指标的评估分析。</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第九条</w:t>
      </w:r>
      <w:r>
        <w:rPr>
          <w:rFonts w:hint="eastAsia" w:ascii="仿宋" w:hAnsi="仿宋" w:eastAsia="仿宋" w:cs="仿宋_GB2312"/>
          <w:color w:val="auto"/>
          <w:sz w:val="28"/>
          <w:szCs w:val="28"/>
          <w:shd w:val="clear" w:color="auto" w:fill="FFFFFF"/>
        </w:rPr>
        <w:t>（规划管控）市自然资源局在出具选址意见书或规划条件时，应明确项目是否开展海绵城市建设，并对需开展海绵城市建设的项目，依据规划条件在土地划拨决定书或土地使用权出让合同中，列明年径流总量控制率、径流系数、排水管渠设计标准等海绵城市建设管控指标。</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ascii="仿宋" w:hAnsi="仿宋" w:eastAsia="仿宋" w:cs="仿宋_GB2312"/>
          <w:color w:val="auto"/>
          <w:sz w:val="28"/>
          <w:szCs w:val="28"/>
          <w:shd w:val="clear" w:color="auto" w:fill="FFFFFF"/>
        </w:rPr>
        <w:t>对于已供地属于新、改、扩建的建设项目，以核准制或审批制立项的，在立项时同步征求市领导小组意见；以备案制立</w:t>
      </w:r>
      <w:r>
        <w:rPr>
          <w:rFonts w:hint="eastAsia" w:ascii="仿宋" w:hAnsi="仿宋" w:eastAsia="仿宋" w:cs="仿宋_GB2312"/>
          <w:color w:val="auto"/>
          <w:sz w:val="28"/>
          <w:szCs w:val="28"/>
          <w:shd w:val="clear" w:color="auto" w:fill="FFFFFF"/>
        </w:rPr>
        <w:t>项的，在办理建设工程规划许可时同步征求市领导小组意见，明确海绵城市建设管控指标。</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sz w:val="28"/>
          <w:szCs w:val="28"/>
          <w:shd w:val="clear" w:color="auto" w:fill="FFFFFF"/>
        </w:rPr>
      </w:pPr>
      <w:r>
        <w:rPr>
          <w:rFonts w:hint="eastAsia" w:ascii="黑体" w:hAnsi="黑体" w:eastAsia="黑体" w:cs="仿宋_GB2312"/>
          <w:b/>
          <w:bCs/>
          <w:color w:val="auto"/>
          <w:sz w:val="28"/>
          <w:szCs w:val="28"/>
          <w:shd w:val="clear" w:color="auto" w:fill="FFFFFF"/>
        </w:rPr>
        <w:t>第十条</w:t>
      </w:r>
      <w:r>
        <w:rPr>
          <w:rFonts w:hint="eastAsia" w:ascii="仿宋" w:hAnsi="仿宋" w:eastAsia="仿宋" w:cs="仿宋_GB2312"/>
          <w:color w:val="auto"/>
          <w:sz w:val="28"/>
          <w:szCs w:val="28"/>
          <w:shd w:val="clear" w:color="auto" w:fill="FFFFFF"/>
        </w:rPr>
        <w:t>（方案设计及审查）建设项目的规划方案设计应编制海绵城市及排水防涝设计专篇。海绵城市及排水防涝设计专篇应包括项目规划、海绵设施建设目标、设计说明、计算书（年径流总量控制率、雨水管渠设计标准、海绵城市及排水防涝设施规模、指标核算情况表等）、各专业（道路、建筑、</w:t>
      </w:r>
      <w:r>
        <w:rPr>
          <w:rFonts w:hint="eastAsia" w:ascii="仿宋" w:hAnsi="仿宋" w:eastAsia="仿宋" w:cs="仿宋_GB2312"/>
          <w:sz w:val="28"/>
          <w:szCs w:val="28"/>
          <w:shd w:val="clear" w:color="auto" w:fill="FFFFFF"/>
        </w:rPr>
        <w:t>景观、给排水等）图纸具体设计内容等。</w:t>
      </w:r>
    </w:p>
    <w:p>
      <w:pPr>
        <w:pStyle w:val="7"/>
        <w:shd w:val="clear" w:color="auto" w:fill="FFFFFF"/>
        <w:snapToGrid w:val="0"/>
        <w:spacing w:before="0" w:beforeAutospacing="0" w:after="0" w:afterAutospacing="0" w:line="360" w:lineRule="auto"/>
        <w:ind w:firstLine="561"/>
        <w:rPr>
          <w:rFonts w:hint="eastAsia" w:ascii="仿宋" w:hAnsi="仿宋" w:eastAsia="仿宋" w:cs="仿宋_GB2312"/>
          <w:color w:val="auto"/>
          <w:sz w:val="28"/>
          <w:szCs w:val="28"/>
          <w:shd w:val="clear" w:color="auto" w:fill="FFFFFF"/>
        </w:rPr>
      </w:pPr>
      <w:r>
        <w:rPr>
          <w:rFonts w:hint="eastAsia" w:ascii="仿宋" w:hAnsi="仿宋" w:eastAsia="仿宋" w:cs="仿宋_GB2312"/>
          <w:color w:val="auto"/>
          <w:sz w:val="28"/>
          <w:szCs w:val="28"/>
          <w:shd w:val="clear" w:color="auto" w:fill="FFFFFF"/>
        </w:rPr>
        <w:t>自然资源部门对海绵城市及排水防涝方案设计进行形式审查。</w:t>
      </w:r>
      <w:r>
        <w:rPr>
          <w:rFonts w:hint="eastAsia" w:ascii="仿宋" w:hAnsi="仿宋" w:eastAsia="仿宋" w:cs="仿宋_GB2312"/>
          <w:color w:val="auto"/>
          <w:sz w:val="28"/>
          <w:szCs w:val="28"/>
          <w:shd w:val="clear" w:color="auto" w:fill="FFFFFF"/>
          <w:lang w:eastAsia="zh-CN"/>
        </w:rPr>
        <w:t>对于一类</w:t>
      </w:r>
      <w:r>
        <w:rPr>
          <w:rFonts w:hint="eastAsia" w:ascii="仿宋" w:hAnsi="仿宋" w:eastAsia="仿宋" w:cs="仿宋_GB2312"/>
          <w:color w:val="auto"/>
          <w:sz w:val="28"/>
          <w:szCs w:val="28"/>
          <w:shd w:val="clear" w:color="auto" w:fill="FFFFFF"/>
        </w:rPr>
        <w:t>项目，市海绵办以政府购买服务的方式委托第三方技术服务机构，对市自然资源局转来的建设项目的海绵城市及排水防涝方案设计进行技术审查，并出具审查意见；对于</w:t>
      </w:r>
      <w:r>
        <w:rPr>
          <w:rFonts w:hint="eastAsia" w:ascii="仿宋" w:hAnsi="仿宋" w:eastAsia="仿宋" w:cs="仿宋_GB2312"/>
          <w:color w:val="auto"/>
          <w:sz w:val="28"/>
          <w:szCs w:val="28"/>
          <w:shd w:val="clear" w:color="auto" w:fill="FFFFFF"/>
          <w:lang w:eastAsia="zh-CN"/>
        </w:rPr>
        <w:t>二类</w:t>
      </w:r>
      <w:r>
        <w:rPr>
          <w:rFonts w:hint="eastAsia" w:ascii="仿宋" w:hAnsi="仿宋" w:eastAsia="仿宋" w:cs="仿宋_GB2312"/>
          <w:color w:val="auto"/>
          <w:sz w:val="28"/>
          <w:szCs w:val="28"/>
          <w:shd w:val="clear" w:color="auto" w:fill="FFFFFF"/>
        </w:rPr>
        <w:t>项</w:t>
      </w:r>
      <w:r>
        <w:rPr>
          <w:rFonts w:hint="eastAsia" w:ascii="仿宋" w:hAnsi="仿宋" w:eastAsia="仿宋" w:cs="仿宋_GB2312"/>
          <w:color w:val="000000"/>
          <w:sz w:val="28"/>
          <w:szCs w:val="28"/>
          <w:shd w:val="clear" w:color="auto" w:fill="FFFFFF"/>
        </w:rPr>
        <w:t>目，由各镇</w:t>
      </w:r>
      <w:r>
        <w:rPr>
          <w:rFonts w:hint="eastAsia" w:ascii="仿宋" w:hAnsi="仿宋" w:eastAsia="仿宋" w:cs="仿宋_GB2312"/>
          <w:color w:val="000000"/>
          <w:sz w:val="28"/>
          <w:szCs w:val="28"/>
          <w:shd w:val="clear" w:color="auto" w:fill="FFFFFF"/>
          <w:lang w:eastAsia="zh-CN"/>
        </w:rPr>
        <w:t>街</w:t>
      </w:r>
      <w:r>
        <w:rPr>
          <w:rFonts w:hint="eastAsia" w:ascii="仿宋" w:hAnsi="仿宋" w:eastAsia="仿宋" w:cs="仿宋_GB2312"/>
          <w:color w:val="auto"/>
          <w:sz w:val="28"/>
          <w:szCs w:val="28"/>
          <w:shd w:val="clear" w:color="auto" w:fill="FFFFFF"/>
        </w:rPr>
        <w:t>、</w:t>
      </w:r>
      <w:r>
        <w:rPr>
          <w:rFonts w:hint="eastAsia" w:ascii="仿宋" w:hAnsi="仿宋" w:eastAsia="仿宋" w:cs="仿宋_GB2312"/>
          <w:color w:val="000000"/>
          <w:sz w:val="28"/>
          <w:szCs w:val="28"/>
          <w:shd w:val="clear" w:color="auto" w:fill="FFFFFF"/>
        </w:rPr>
        <w:t>园区海绵办以政府购买服务的方式委托第三方技术服务机构，对各镇</w:t>
      </w:r>
      <w:r>
        <w:rPr>
          <w:rFonts w:hint="eastAsia" w:ascii="仿宋" w:hAnsi="仿宋" w:eastAsia="仿宋" w:cs="仿宋_GB2312"/>
          <w:color w:val="000000"/>
          <w:sz w:val="28"/>
          <w:szCs w:val="28"/>
          <w:shd w:val="clear" w:color="auto" w:fill="FFFFFF"/>
          <w:lang w:eastAsia="zh-CN"/>
        </w:rPr>
        <w:t>街</w:t>
      </w:r>
      <w:r>
        <w:rPr>
          <w:rFonts w:hint="eastAsia" w:ascii="仿宋" w:hAnsi="仿宋" w:eastAsia="仿宋" w:cs="仿宋_GB2312"/>
          <w:color w:val="auto"/>
          <w:sz w:val="28"/>
          <w:szCs w:val="28"/>
          <w:shd w:val="clear" w:color="auto" w:fill="FFFFFF"/>
        </w:rPr>
        <w:t>、</w:t>
      </w:r>
      <w:r>
        <w:rPr>
          <w:rFonts w:hint="eastAsia" w:ascii="仿宋" w:hAnsi="仿宋" w:eastAsia="仿宋" w:cs="仿宋_GB2312"/>
          <w:color w:val="000000"/>
          <w:sz w:val="28"/>
          <w:szCs w:val="28"/>
          <w:shd w:val="clear" w:color="auto" w:fill="FFFFFF"/>
        </w:rPr>
        <w:t>园区规划部门转来的项目的海绵城市</w:t>
      </w:r>
      <w:r>
        <w:rPr>
          <w:rFonts w:hint="eastAsia" w:ascii="仿宋" w:hAnsi="仿宋" w:eastAsia="仿宋" w:cs="仿宋_GB2312"/>
          <w:color w:val="auto"/>
          <w:sz w:val="28"/>
          <w:szCs w:val="28"/>
          <w:shd w:val="clear" w:color="auto" w:fill="FFFFFF"/>
        </w:rPr>
        <w:t>及排水防涝</w:t>
      </w:r>
      <w:r>
        <w:rPr>
          <w:rFonts w:hint="eastAsia" w:ascii="仿宋" w:hAnsi="仿宋" w:eastAsia="仿宋" w:cs="仿宋_GB2312"/>
          <w:color w:val="000000"/>
          <w:sz w:val="28"/>
          <w:szCs w:val="28"/>
          <w:shd w:val="clear" w:color="auto" w:fill="FFFFFF"/>
        </w:rPr>
        <w:t>方案设计进行技术审查，并出具审查意见</w:t>
      </w:r>
      <w:r>
        <w:rPr>
          <w:rFonts w:hint="eastAsia" w:ascii="仿宋" w:hAnsi="仿宋" w:eastAsia="仿宋" w:cs="仿宋_GB2312"/>
          <w:color w:val="auto"/>
          <w:sz w:val="28"/>
          <w:szCs w:val="28"/>
          <w:shd w:val="clear" w:color="auto" w:fill="FFFFFF"/>
        </w:rPr>
        <w:t>。</w:t>
      </w:r>
    </w:p>
    <w:p>
      <w:pPr>
        <w:pStyle w:val="7"/>
        <w:shd w:val="clear" w:color="auto" w:fill="FFFFFF"/>
        <w:snapToGrid w:val="0"/>
        <w:spacing w:before="0" w:beforeAutospacing="0" w:after="0" w:afterAutospacing="0" w:line="360" w:lineRule="auto"/>
        <w:ind w:firstLine="561"/>
        <w:rPr>
          <w:rFonts w:hint="eastAsia" w:ascii="仿宋" w:hAnsi="仿宋" w:eastAsia="仿宋" w:cs="仿宋_GB2312"/>
          <w:color w:val="auto"/>
          <w:sz w:val="28"/>
          <w:szCs w:val="28"/>
          <w:shd w:val="clear" w:color="auto" w:fill="FFFFFF"/>
        </w:rPr>
      </w:pPr>
      <w:r>
        <w:rPr>
          <w:rFonts w:hint="eastAsia" w:ascii="Times New Roman" w:hAnsi="Times New Roman" w:eastAsia="仿宋" w:cs="Times New Roman"/>
          <w:bCs/>
          <w:color w:val="auto"/>
          <w:sz w:val="28"/>
          <w:szCs w:val="28"/>
          <w:shd w:val="clear" w:color="auto" w:fill="FFFFFF"/>
        </w:rPr>
        <w:t>新建道路及室外交通场站项目应同步建设海绵城市及排水防涝设施，工程建设单位应就道路及室外交通场站项目的海绵城市及排水防涝方案设计征求市海绵办或各镇、园区海绵办的意见。</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第十一条</w:t>
      </w:r>
      <w:r>
        <w:rPr>
          <w:rFonts w:hint="eastAsia" w:ascii="仿宋" w:hAnsi="仿宋" w:eastAsia="仿宋" w:cs="仿宋_GB2312"/>
          <w:color w:val="auto"/>
          <w:sz w:val="28"/>
          <w:szCs w:val="28"/>
          <w:shd w:val="clear" w:color="auto" w:fill="FFFFFF"/>
        </w:rPr>
        <w:t>（施工图设计及审查）施工图设计文件应按照国家、地方相关设计标准、规范进行编制，质量应满足相应阶段的深度要求。</w:t>
      </w:r>
      <w:r>
        <w:rPr>
          <w:rFonts w:ascii="仿宋" w:hAnsi="仿宋" w:eastAsia="仿宋" w:cs="仿宋_GB2312"/>
          <w:color w:val="auto"/>
          <w:sz w:val="28"/>
          <w:szCs w:val="28"/>
          <w:shd w:val="clear" w:color="auto" w:fill="FFFFFF"/>
        </w:rPr>
        <w:t>施工图审查机构应当按照相关标准及规范，</w:t>
      </w:r>
      <w:r>
        <w:rPr>
          <w:rFonts w:hint="eastAsia" w:ascii="仿宋" w:hAnsi="仿宋" w:eastAsia="仿宋" w:cs="仿宋_GB2312"/>
          <w:color w:val="auto"/>
          <w:sz w:val="28"/>
          <w:szCs w:val="28"/>
          <w:shd w:val="clear" w:color="auto" w:fill="FFFFFF"/>
        </w:rPr>
        <w:t>将</w:t>
      </w:r>
      <w:r>
        <w:rPr>
          <w:rFonts w:ascii="仿宋" w:hAnsi="仿宋" w:eastAsia="仿宋" w:cs="仿宋_GB2312"/>
          <w:color w:val="auto"/>
          <w:sz w:val="28"/>
          <w:szCs w:val="28"/>
          <w:shd w:val="clear" w:color="auto" w:fill="FFFFFF"/>
        </w:rPr>
        <w:t>相关工程措施作为重点审查内容，并提出明确的审查意见。对于未达到规划条件中控制指标的设计文件，施工图审查不予通过。</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ascii="仿宋" w:hAnsi="仿宋" w:eastAsia="仿宋" w:cs="仿宋_GB2312"/>
          <w:color w:val="auto"/>
          <w:sz w:val="28"/>
          <w:szCs w:val="28"/>
          <w:shd w:val="clear" w:color="auto" w:fill="FFFFFF"/>
        </w:rPr>
        <w:t>施工图设计文件确需变更设计的，不得降低</w:t>
      </w:r>
      <w:r>
        <w:rPr>
          <w:rFonts w:hint="eastAsia" w:ascii="仿宋" w:hAnsi="仿宋" w:eastAsia="仿宋" w:cs="仿宋_GB2312"/>
          <w:color w:val="auto"/>
          <w:sz w:val="28"/>
          <w:szCs w:val="28"/>
          <w:shd w:val="clear" w:color="auto" w:fill="FFFFFF"/>
        </w:rPr>
        <w:t>海绵城市</w:t>
      </w:r>
      <w:r>
        <w:rPr>
          <w:rFonts w:ascii="仿宋" w:hAnsi="仿宋" w:eastAsia="仿宋" w:cs="仿宋_GB2312"/>
          <w:color w:val="auto"/>
          <w:sz w:val="28"/>
          <w:szCs w:val="28"/>
          <w:shd w:val="clear" w:color="auto" w:fill="FFFFFF"/>
        </w:rPr>
        <w:t>建设目标</w:t>
      </w:r>
      <w:r>
        <w:rPr>
          <w:rFonts w:hint="eastAsia" w:ascii="仿宋" w:hAnsi="仿宋" w:eastAsia="仿宋" w:cs="仿宋_GB2312"/>
          <w:color w:val="auto"/>
          <w:sz w:val="28"/>
          <w:szCs w:val="28"/>
          <w:shd w:val="clear" w:color="auto" w:fill="FFFFFF"/>
        </w:rPr>
        <w:t>。</w:t>
      </w:r>
    </w:p>
    <w:p>
      <w:pPr>
        <w:pStyle w:val="7"/>
        <w:shd w:val="clear" w:color="auto" w:fill="FFFFFF"/>
        <w:spacing w:before="312" w:beforeLines="100" w:beforeAutospacing="0" w:after="312" w:afterLines="100" w:afterAutospacing="0" w:line="276" w:lineRule="auto"/>
        <w:jc w:val="center"/>
        <w:rPr>
          <w:rFonts w:hint="eastAsia" w:ascii="黑体" w:hAnsi="黑体" w:eastAsia="黑体" w:cs="黑体"/>
          <w:b/>
          <w:bCs/>
          <w:color w:val="auto"/>
          <w:sz w:val="32"/>
          <w:szCs w:val="32"/>
          <w:shd w:val="clear" w:color="auto" w:fill="FFFFFF"/>
        </w:rPr>
      </w:pPr>
      <w:r>
        <w:rPr>
          <w:rFonts w:hint="eastAsia" w:ascii="黑体" w:hAnsi="黑体" w:eastAsia="黑体" w:cs="黑体"/>
          <w:b/>
          <w:bCs/>
          <w:color w:val="auto"/>
          <w:sz w:val="32"/>
          <w:szCs w:val="32"/>
          <w:shd w:val="clear" w:color="auto" w:fill="FFFFFF"/>
        </w:rPr>
        <w:t>第三章</w:t>
      </w:r>
      <w:r>
        <w:rPr>
          <w:rFonts w:ascii="黑体" w:hAnsi="黑体" w:eastAsia="黑体" w:cs="黑体"/>
          <w:b/>
          <w:bCs/>
          <w:color w:val="auto"/>
          <w:sz w:val="32"/>
          <w:szCs w:val="32"/>
          <w:shd w:val="clear" w:color="auto" w:fill="FFFFFF"/>
        </w:rPr>
        <w:t xml:space="preserve"> 施工</w:t>
      </w:r>
      <w:r>
        <w:rPr>
          <w:rFonts w:hint="eastAsia" w:ascii="黑体" w:hAnsi="黑体" w:eastAsia="黑体" w:cs="黑体"/>
          <w:b/>
          <w:bCs/>
          <w:color w:val="auto"/>
          <w:sz w:val="32"/>
          <w:szCs w:val="32"/>
          <w:shd w:val="clear" w:color="auto" w:fill="FFFFFF"/>
        </w:rPr>
        <w:t>、</w:t>
      </w:r>
      <w:r>
        <w:rPr>
          <w:rFonts w:ascii="黑体" w:hAnsi="黑体" w:eastAsia="黑体" w:cs="黑体"/>
          <w:b/>
          <w:bCs/>
          <w:color w:val="auto"/>
          <w:sz w:val="32"/>
          <w:szCs w:val="32"/>
          <w:shd w:val="clear" w:color="auto" w:fill="FFFFFF"/>
        </w:rPr>
        <w:t>验收</w:t>
      </w:r>
      <w:r>
        <w:rPr>
          <w:rFonts w:hint="eastAsia" w:ascii="黑体" w:hAnsi="黑体" w:eastAsia="黑体" w:cs="黑体"/>
          <w:b/>
          <w:bCs/>
          <w:color w:val="auto"/>
          <w:sz w:val="32"/>
          <w:szCs w:val="32"/>
          <w:shd w:val="clear" w:color="auto" w:fill="FFFFFF"/>
        </w:rPr>
        <w:t>及运营</w:t>
      </w:r>
      <w:r>
        <w:rPr>
          <w:rFonts w:ascii="黑体" w:hAnsi="黑体" w:eastAsia="黑体" w:cs="黑体"/>
          <w:b/>
          <w:bCs/>
          <w:color w:val="auto"/>
          <w:sz w:val="32"/>
          <w:szCs w:val="32"/>
          <w:shd w:val="clear" w:color="auto" w:fill="FFFFFF"/>
        </w:rPr>
        <w:t>管理</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第十二条</w:t>
      </w:r>
      <w:r>
        <w:rPr>
          <w:rFonts w:hint="eastAsia" w:ascii="仿宋" w:hAnsi="仿宋" w:eastAsia="仿宋" w:cs="仿宋_GB2312"/>
          <w:color w:val="auto"/>
          <w:sz w:val="28"/>
          <w:szCs w:val="28"/>
          <w:shd w:val="clear" w:color="auto" w:fill="FFFFFF"/>
        </w:rPr>
        <w:t>（</w:t>
      </w:r>
      <w:r>
        <w:rPr>
          <w:rFonts w:ascii="仿宋" w:hAnsi="仿宋" w:eastAsia="仿宋" w:cs="仿宋_GB2312"/>
          <w:color w:val="auto"/>
          <w:sz w:val="28"/>
          <w:szCs w:val="28"/>
          <w:shd w:val="clear" w:color="auto" w:fill="FFFFFF"/>
        </w:rPr>
        <w:t>施工管理</w:t>
      </w:r>
      <w:r>
        <w:rPr>
          <w:rFonts w:hint="eastAsia" w:ascii="仿宋" w:hAnsi="仿宋" w:eastAsia="仿宋" w:cs="仿宋_GB2312"/>
          <w:color w:val="auto"/>
          <w:sz w:val="28"/>
          <w:szCs w:val="28"/>
          <w:shd w:val="clear" w:color="auto" w:fill="FFFFFF"/>
        </w:rPr>
        <w:t>）海绵城市设施应按照“先地下、后地上”的要求，合理统筹施工。应严格按照审查通过的施工图设计文件进行施工。</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第十三条</w:t>
      </w:r>
      <w:r>
        <w:rPr>
          <w:rFonts w:hint="eastAsia" w:ascii="仿宋" w:hAnsi="仿宋" w:eastAsia="仿宋" w:cs="仿宋_GB2312"/>
          <w:color w:val="auto"/>
          <w:sz w:val="28"/>
          <w:szCs w:val="28"/>
          <w:shd w:val="clear" w:color="auto" w:fill="FFFFFF"/>
        </w:rPr>
        <w:t>（竣工验收）建设单位提交的建设项目竣工文件中应有完整的海绵设施竣工资料。验收组织单位和验收监督单位应按照审查通过的施工图进行验收及验收监督，并将验收情况纳入验收及验收监督结论。</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第十四条</w:t>
      </w:r>
      <w:r>
        <w:rPr>
          <w:rFonts w:hint="eastAsia" w:ascii="仿宋" w:hAnsi="仿宋" w:eastAsia="仿宋" w:cs="仿宋_GB2312"/>
          <w:color w:val="auto"/>
          <w:sz w:val="28"/>
          <w:szCs w:val="28"/>
          <w:shd w:val="clear" w:color="auto" w:fill="FFFFFF"/>
        </w:rPr>
        <w:t>（移交管理）海绵设施竣工验收合格后，应随主体工程同步移交。</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第十五条</w:t>
      </w:r>
      <w:r>
        <w:rPr>
          <w:rFonts w:hint="eastAsia" w:ascii="仿宋" w:hAnsi="仿宋" w:eastAsia="仿宋" w:cs="仿宋_GB2312"/>
          <w:color w:val="auto"/>
          <w:sz w:val="28"/>
          <w:szCs w:val="28"/>
          <w:shd w:val="clear" w:color="auto" w:fill="FFFFFF"/>
        </w:rPr>
        <w:t>（管理责任）海绵设施移交后应及时确定运行维护单位。政府投资项目的海绵设施应由相关职能部门按照职责分工维护监管；社会投资项目的海绵设施应由该设施的所有者或委托方负责运行维护。若无明确监管责任主体，遵循“谁投资，谁管理”的原则进行运行维护。</w:t>
      </w:r>
    </w:p>
    <w:p>
      <w:pPr>
        <w:pStyle w:val="7"/>
        <w:shd w:val="clear" w:color="auto" w:fill="FFFFFF"/>
        <w:spacing w:before="312" w:beforeLines="100" w:beforeAutospacing="0" w:after="312" w:afterLines="100" w:afterAutospacing="0" w:line="276" w:lineRule="auto"/>
        <w:jc w:val="center"/>
        <w:rPr>
          <w:rFonts w:hint="eastAsia" w:ascii="黑体" w:hAnsi="黑体" w:eastAsia="黑体" w:cs="黑体"/>
          <w:b/>
          <w:bCs/>
          <w:color w:val="auto"/>
          <w:sz w:val="32"/>
          <w:szCs w:val="32"/>
          <w:shd w:val="clear" w:color="auto" w:fill="FFFFFF"/>
        </w:rPr>
      </w:pPr>
      <w:r>
        <w:rPr>
          <w:rFonts w:hint="eastAsia" w:ascii="黑体" w:hAnsi="黑体" w:eastAsia="黑体" w:cs="黑体"/>
          <w:b/>
          <w:bCs/>
          <w:color w:val="auto"/>
          <w:sz w:val="32"/>
          <w:szCs w:val="32"/>
          <w:shd w:val="clear" w:color="auto" w:fill="FFFFFF"/>
        </w:rPr>
        <w:t>第四章</w:t>
      </w:r>
      <w:r>
        <w:rPr>
          <w:rFonts w:ascii="黑体" w:hAnsi="黑体" w:eastAsia="黑体" w:cs="黑体"/>
          <w:b/>
          <w:bCs/>
          <w:color w:val="auto"/>
          <w:sz w:val="32"/>
          <w:szCs w:val="32"/>
          <w:shd w:val="clear" w:color="auto" w:fill="FFFFFF"/>
        </w:rPr>
        <w:t xml:space="preserve"> </w:t>
      </w:r>
      <w:r>
        <w:rPr>
          <w:rFonts w:hint="eastAsia" w:ascii="黑体" w:hAnsi="黑体" w:eastAsia="黑体" w:cs="黑体"/>
          <w:b/>
          <w:bCs/>
          <w:color w:val="auto"/>
          <w:sz w:val="32"/>
          <w:szCs w:val="32"/>
          <w:shd w:val="clear" w:color="auto" w:fill="FFFFFF"/>
        </w:rPr>
        <w:t xml:space="preserve"> 能力建设</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第十六条</w:t>
      </w:r>
      <w:r>
        <w:rPr>
          <w:rFonts w:ascii="仿宋" w:hAnsi="仿宋" w:eastAsia="仿宋" w:cs="仿宋_GB2312"/>
          <w:color w:val="auto"/>
          <w:sz w:val="28"/>
          <w:szCs w:val="28"/>
          <w:shd w:val="clear" w:color="auto" w:fill="FFFFFF"/>
        </w:rPr>
        <w:t>(考核机制)</w:t>
      </w:r>
      <w:bookmarkStart w:id="1" w:name="_GoBack"/>
      <w:bookmarkEnd w:id="1"/>
      <w:r>
        <w:rPr>
          <w:rFonts w:hint="eastAsia" w:ascii="仿宋" w:hAnsi="仿宋" w:eastAsia="仿宋" w:cs="仿宋_GB2312"/>
          <w:color w:val="auto"/>
          <w:sz w:val="28"/>
          <w:szCs w:val="28"/>
          <w:shd w:val="clear" w:color="auto" w:fill="FFFFFF"/>
        </w:rPr>
        <w:t>将海绵城市工作纳入东莞市全面推行河湖长制考核。根据《东莞市全面推行河湖长制工作考核办法（修订）》，考核结果经市全面推行河长制工作领导小组同意后发布。</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第十七条</w:t>
      </w:r>
      <w:r>
        <w:rPr>
          <w:rFonts w:ascii="仿宋" w:hAnsi="仿宋" w:eastAsia="仿宋" w:cs="仿宋_GB2312"/>
          <w:color w:val="auto"/>
          <w:sz w:val="28"/>
          <w:szCs w:val="28"/>
          <w:shd w:val="clear" w:color="auto" w:fill="FFFFFF"/>
        </w:rPr>
        <w:t>(</w:t>
      </w:r>
      <w:r>
        <w:rPr>
          <w:rFonts w:hint="eastAsia" w:ascii="仿宋" w:hAnsi="仿宋" w:eastAsia="仿宋" w:cs="仿宋_GB2312"/>
          <w:color w:val="auto"/>
          <w:sz w:val="28"/>
          <w:szCs w:val="28"/>
          <w:shd w:val="clear" w:color="auto" w:fill="FFFFFF"/>
        </w:rPr>
        <w:t>培训推广</w:t>
      </w:r>
      <w:r>
        <w:rPr>
          <w:rFonts w:ascii="仿宋" w:hAnsi="仿宋" w:eastAsia="仿宋" w:cs="仿宋_GB2312"/>
          <w:color w:val="auto"/>
          <w:sz w:val="28"/>
          <w:szCs w:val="28"/>
          <w:shd w:val="clear" w:color="auto" w:fill="FFFFFF"/>
        </w:rPr>
        <w:t>)</w:t>
      </w:r>
      <w:r>
        <w:rPr>
          <w:rFonts w:hint="eastAsia" w:ascii="仿宋" w:hAnsi="仿宋" w:eastAsia="仿宋" w:cs="仿宋_GB2312"/>
          <w:color w:val="auto"/>
          <w:sz w:val="28"/>
          <w:szCs w:val="28"/>
          <w:shd w:val="clear" w:color="auto" w:fill="FFFFFF"/>
        </w:rPr>
        <w:t>加强对海绵设施规划、设计、建设、运行维护等从业人员的培训。鼓励和支持海绵城市科学研究、先进技术、设备和材料的推广使用。</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第十八条</w:t>
      </w:r>
      <w:r>
        <w:rPr>
          <w:rFonts w:ascii="仿宋" w:hAnsi="仿宋" w:eastAsia="仿宋" w:cs="仿宋_GB2312"/>
          <w:color w:val="auto"/>
          <w:sz w:val="28"/>
          <w:szCs w:val="28"/>
          <w:shd w:val="clear" w:color="auto" w:fill="FFFFFF"/>
        </w:rPr>
        <w:t>(宣传引导)</w:t>
      </w:r>
      <w:r>
        <w:rPr>
          <w:rFonts w:hint="eastAsia" w:ascii="仿宋" w:hAnsi="仿宋" w:eastAsia="仿宋" w:cs="仿宋_GB2312"/>
          <w:color w:val="auto"/>
          <w:sz w:val="28"/>
          <w:szCs w:val="28"/>
          <w:shd w:val="clear" w:color="auto" w:fill="FFFFFF"/>
        </w:rPr>
        <w:t>各有关部门、镇（街）、园区要积极开展宣传及引导活动</w:t>
      </w:r>
      <w:r>
        <w:rPr>
          <w:rFonts w:ascii="仿宋" w:hAnsi="仿宋" w:eastAsia="仿宋" w:cs="仿宋_GB2312"/>
          <w:color w:val="auto"/>
          <w:sz w:val="28"/>
          <w:szCs w:val="28"/>
          <w:shd w:val="clear" w:color="auto" w:fill="FFFFFF"/>
        </w:rPr>
        <w:t>,提高全社会对海绵城市建设的认识。</w:t>
      </w:r>
    </w:p>
    <w:p>
      <w:pPr>
        <w:pStyle w:val="7"/>
        <w:shd w:val="clear" w:color="auto" w:fill="FFFFFF"/>
        <w:spacing w:before="312" w:beforeLines="100" w:beforeAutospacing="0" w:after="312" w:afterLines="100" w:afterAutospacing="0" w:line="276" w:lineRule="auto"/>
        <w:jc w:val="center"/>
        <w:rPr>
          <w:rFonts w:hint="eastAsia" w:ascii="黑体" w:hAnsi="黑体" w:eastAsia="黑体" w:cs="黑体"/>
          <w:b/>
          <w:bCs/>
          <w:color w:val="auto"/>
          <w:sz w:val="32"/>
          <w:szCs w:val="32"/>
          <w:shd w:val="clear" w:color="auto" w:fill="FFFFFF"/>
        </w:rPr>
      </w:pPr>
      <w:r>
        <w:rPr>
          <w:rFonts w:hint="eastAsia" w:ascii="黑体" w:hAnsi="黑体" w:eastAsia="黑体" w:cs="黑体"/>
          <w:b/>
          <w:bCs/>
          <w:color w:val="auto"/>
          <w:sz w:val="32"/>
          <w:szCs w:val="32"/>
          <w:shd w:val="clear" w:color="auto" w:fill="FFFFFF"/>
        </w:rPr>
        <w:t>第五章</w:t>
      </w:r>
      <w:r>
        <w:rPr>
          <w:rFonts w:ascii="黑体" w:hAnsi="黑体" w:eastAsia="黑体" w:cs="黑体"/>
          <w:b/>
          <w:bCs/>
          <w:color w:val="auto"/>
          <w:sz w:val="32"/>
          <w:szCs w:val="32"/>
          <w:shd w:val="clear" w:color="auto" w:fill="FFFFFF"/>
        </w:rPr>
        <w:t xml:space="preserve">   </w:t>
      </w:r>
      <w:r>
        <w:rPr>
          <w:rFonts w:hint="eastAsia" w:ascii="黑体" w:hAnsi="黑体" w:eastAsia="黑体" w:cs="黑体"/>
          <w:b/>
          <w:bCs/>
          <w:color w:val="auto"/>
          <w:sz w:val="32"/>
          <w:szCs w:val="32"/>
          <w:shd w:val="clear" w:color="auto" w:fill="FFFFFF"/>
        </w:rPr>
        <w:t>附</w:t>
      </w:r>
      <w:r>
        <w:rPr>
          <w:rFonts w:ascii="黑体" w:hAnsi="黑体" w:eastAsia="黑体" w:cs="黑体"/>
          <w:b/>
          <w:bCs/>
          <w:color w:val="auto"/>
          <w:sz w:val="32"/>
          <w:szCs w:val="32"/>
          <w:shd w:val="clear" w:color="auto" w:fill="FFFFFF"/>
        </w:rPr>
        <w:t xml:space="preserve"> </w:t>
      </w:r>
      <w:r>
        <w:rPr>
          <w:rFonts w:hint="eastAsia" w:ascii="黑体" w:hAnsi="黑体" w:eastAsia="黑体" w:cs="黑体"/>
          <w:b/>
          <w:bCs/>
          <w:color w:val="auto"/>
          <w:sz w:val="32"/>
          <w:szCs w:val="32"/>
          <w:shd w:val="clear" w:color="auto" w:fill="FFFFFF"/>
        </w:rPr>
        <w:t xml:space="preserve"> 则</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第十九条</w:t>
      </w:r>
      <w:r>
        <w:rPr>
          <w:rFonts w:hint="eastAsia" w:ascii="仿宋" w:hAnsi="仿宋" w:eastAsia="仿宋" w:cs="仿宋_GB2312"/>
          <w:color w:val="auto"/>
          <w:sz w:val="28"/>
          <w:szCs w:val="28"/>
          <w:shd w:val="clear" w:color="auto" w:fill="FFFFFF"/>
        </w:rPr>
        <w:t>（法律责任）对政府部门工作人员违反本办法规定，不履行或不正确履行所应担负职责的，依法依规追究责任。建设、规划设计、施工、监理、施工图审查等有关单位违反本办法的，由相关主管部门依法依规处理。</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第二十条</w:t>
      </w:r>
      <w:r>
        <w:rPr>
          <w:rFonts w:hint="eastAsia" w:ascii="仿宋" w:hAnsi="仿宋" w:eastAsia="仿宋" w:cs="仿宋_GB2312"/>
          <w:color w:val="auto"/>
          <w:sz w:val="28"/>
          <w:szCs w:val="28"/>
          <w:shd w:val="clear" w:color="auto" w:fill="FFFFFF"/>
        </w:rPr>
        <w:t>（文件衔接）</w:t>
      </w:r>
      <w:r>
        <w:rPr>
          <w:rFonts w:hint="eastAsia" w:ascii="仿宋" w:hAnsi="仿宋" w:eastAsia="仿宋" w:cs="仿宋_GB2312"/>
          <w:color w:val="000000"/>
          <w:sz w:val="28"/>
          <w:szCs w:val="28"/>
          <w:shd w:val="clear" w:color="auto" w:fill="FFFFFF"/>
          <w:lang w:eastAsia="zh-CN"/>
        </w:rPr>
        <w:t>本文所称一、二类项目与自然资源或规划部门规定的一、二类项目一致。我市现行海绵城市建设管理相关文件内容与</w:t>
      </w:r>
      <w:r>
        <w:rPr>
          <w:rFonts w:hint="eastAsia" w:ascii="仿宋" w:hAnsi="仿宋" w:eastAsia="仿宋" w:cs="仿宋_GB2312"/>
          <w:color w:val="000000"/>
          <w:sz w:val="28"/>
          <w:szCs w:val="28"/>
          <w:shd w:val="clear" w:color="auto" w:fill="FFFFFF"/>
        </w:rPr>
        <w:t>本办法</w:t>
      </w:r>
      <w:r>
        <w:rPr>
          <w:rFonts w:hint="eastAsia" w:ascii="仿宋" w:hAnsi="仿宋" w:eastAsia="仿宋" w:cs="仿宋_GB2312"/>
          <w:color w:val="000000"/>
          <w:sz w:val="28"/>
          <w:szCs w:val="28"/>
          <w:shd w:val="clear" w:color="auto" w:fill="FFFFFF"/>
          <w:lang w:eastAsia="zh-CN"/>
        </w:rPr>
        <w:t>不一致的，以本办法为准</w:t>
      </w:r>
      <w:r>
        <w:rPr>
          <w:rFonts w:hint="eastAsia" w:ascii="仿宋" w:hAnsi="仿宋" w:eastAsia="仿宋" w:cs="仿宋_GB2312"/>
          <w:color w:val="auto"/>
          <w:sz w:val="28"/>
          <w:szCs w:val="28"/>
          <w:shd w:val="clear" w:color="auto" w:fill="FFFFFF"/>
        </w:rPr>
        <w:t>。</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28"/>
          <w:szCs w:val="28"/>
          <w:shd w:val="clear" w:color="auto" w:fill="FFFFFF"/>
        </w:rPr>
      </w:pPr>
      <w:r>
        <w:rPr>
          <w:rFonts w:hint="eastAsia" w:ascii="黑体" w:hAnsi="黑体" w:eastAsia="黑体" w:cs="仿宋_GB2312"/>
          <w:b/>
          <w:bCs/>
          <w:color w:val="auto"/>
          <w:sz w:val="28"/>
          <w:szCs w:val="28"/>
          <w:shd w:val="clear" w:color="auto" w:fill="FFFFFF"/>
        </w:rPr>
        <w:t>第二十一条</w:t>
      </w:r>
      <w:r>
        <w:rPr>
          <w:rFonts w:hint="eastAsia" w:ascii="仿宋" w:hAnsi="仿宋" w:eastAsia="仿宋" w:cs="仿宋_GB2312"/>
          <w:color w:val="auto"/>
          <w:sz w:val="28"/>
          <w:szCs w:val="28"/>
          <w:shd w:val="clear" w:color="auto" w:fill="FFFFFF"/>
        </w:rPr>
        <w:t>（解释权）本办法由市水务局负责解释。</w:t>
      </w:r>
    </w:p>
    <w:p>
      <w:pPr>
        <w:pStyle w:val="7"/>
        <w:shd w:val="clear" w:color="auto" w:fill="FFFFFF"/>
        <w:snapToGrid w:val="0"/>
        <w:spacing w:before="0" w:beforeAutospacing="0" w:after="0" w:afterAutospacing="0" w:line="360" w:lineRule="auto"/>
        <w:ind w:firstLine="564"/>
        <w:jc w:val="both"/>
        <w:rPr>
          <w:rFonts w:hint="eastAsia" w:ascii="仿宋" w:hAnsi="仿宋" w:eastAsia="仿宋" w:cs="仿宋_GB2312"/>
          <w:color w:val="auto"/>
          <w:sz w:val="32"/>
          <w:szCs w:val="32"/>
          <w:shd w:val="clear" w:color="auto" w:fill="FFFFFF"/>
        </w:rPr>
      </w:pPr>
      <w:r>
        <w:rPr>
          <w:rFonts w:hint="eastAsia" w:ascii="黑体" w:hAnsi="黑体" w:eastAsia="黑体" w:cs="仿宋_GB2312"/>
          <w:b/>
          <w:bCs/>
          <w:color w:val="auto"/>
          <w:sz w:val="28"/>
          <w:szCs w:val="28"/>
          <w:shd w:val="clear" w:color="auto" w:fill="FFFFFF"/>
        </w:rPr>
        <w:t>第二十二条</w:t>
      </w:r>
      <w:r>
        <w:rPr>
          <w:rFonts w:hint="eastAsia" w:ascii="仿宋" w:hAnsi="仿宋" w:eastAsia="仿宋" w:cs="仿宋_GB2312"/>
          <w:color w:val="auto"/>
          <w:sz w:val="28"/>
          <w:szCs w:val="28"/>
          <w:shd w:val="clear" w:color="auto" w:fill="FFFFFF"/>
        </w:rPr>
        <w:t>（有效期）本办法自</w:t>
      </w:r>
      <w:r>
        <w:rPr>
          <w:rFonts w:ascii="仿宋" w:hAnsi="仿宋" w:eastAsia="仿宋" w:cs="仿宋_GB2312"/>
          <w:color w:val="auto"/>
          <w:sz w:val="28"/>
          <w:szCs w:val="28"/>
          <w:shd w:val="clear" w:color="auto" w:fill="FFFFFF"/>
        </w:rPr>
        <w:t>2024年  月  日起施行，有效期至2027年  月  日</w:t>
      </w:r>
      <w:r>
        <w:rPr>
          <w:rFonts w:hint="eastAsia" w:ascii="仿宋" w:hAnsi="仿宋" w:eastAsia="仿宋" w:cs="仿宋_GB2312"/>
          <w:color w:val="auto"/>
          <w:sz w:val="28"/>
          <w:szCs w:val="28"/>
          <w:shd w:val="clear" w:color="auto" w:fill="FFFFFF"/>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046832"/>
    </w:sdtPr>
    <w:sdtContent>
      <w:p>
        <w:pPr>
          <w:pStyle w:val="5"/>
          <w:jc w:val="center"/>
          <w:rPr>
            <w:rFonts w:hint="eastAsia"/>
          </w:rPr>
        </w:pPr>
        <w:r>
          <w:fldChar w:fldCharType="begin"/>
        </w:r>
        <w:r>
          <w:instrText xml:space="preserve">PAGE   \* MERGEFORMAT</w:instrText>
        </w:r>
        <w:r>
          <w:fldChar w:fldCharType="separate"/>
        </w:r>
        <w:r>
          <w:rPr>
            <w:lang w:val="zh-CN"/>
          </w:rPr>
          <w:t>7</w:t>
        </w:r>
        <w:r>
          <w:fldChar w:fldCharType="end"/>
        </w:r>
      </w:p>
    </w:sdtContent>
  </w:sdt>
  <w:p>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B3"/>
    <w:rsid w:val="0000321A"/>
    <w:rsid w:val="0001629A"/>
    <w:rsid w:val="00016594"/>
    <w:rsid w:val="000342A6"/>
    <w:rsid w:val="00055A0B"/>
    <w:rsid w:val="00055BAC"/>
    <w:rsid w:val="000565DE"/>
    <w:rsid w:val="0006658C"/>
    <w:rsid w:val="00067CA2"/>
    <w:rsid w:val="00075B43"/>
    <w:rsid w:val="00084CDA"/>
    <w:rsid w:val="000A385A"/>
    <w:rsid w:val="000B1AAC"/>
    <w:rsid w:val="000B7275"/>
    <w:rsid w:val="000C346C"/>
    <w:rsid w:val="000C53F2"/>
    <w:rsid w:val="000D19E6"/>
    <w:rsid w:val="000D6BCE"/>
    <w:rsid w:val="000E464C"/>
    <w:rsid w:val="00100EDB"/>
    <w:rsid w:val="0010102A"/>
    <w:rsid w:val="0010703D"/>
    <w:rsid w:val="00110819"/>
    <w:rsid w:val="00111E6E"/>
    <w:rsid w:val="00112BF1"/>
    <w:rsid w:val="00113511"/>
    <w:rsid w:val="001156DE"/>
    <w:rsid w:val="00115709"/>
    <w:rsid w:val="0012366B"/>
    <w:rsid w:val="001865DB"/>
    <w:rsid w:val="00192BDC"/>
    <w:rsid w:val="00195396"/>
    <w:rsid w:val="001B1DD0"/>
    <w:rsid w:val="001B26E8"/>
    <w:rsid w:val="001B3F90"/>
    <w:rsid w:val="001B454C"/>
    <w:rsid w:val="001B6B74"/>
    <w:rsid w:val="001B77B8"/>
    <w:rsid w:val="001D2B0E"/>
    <w:rsid w:val="001F3EFE"/>
    <w:rsid w:val="00217F88"/>
    <w:rsid w:val="00237FD6"/>
    <w:rsid w:val="00247700"/>
    <w:rsid w:val="00253FC8"/>
    <w:rsid w:val="00255C3E"/>
    <w:rsid w:val="0025721F"/>
    <w:rsid w:val="00260A99"/>
    <w:rsid w:val="00260E36"/>
    <w:rsid w:val="0027130A"/>
    <w:rsid w:val="0028067C"/>
    <w:rsid w:val="00286ED8"/>
    <w:rsid w:val="002A3B51"/>
    <w:rsid w:val="002B03C9"/>
    <w:rsid w:val="002B710F"/>
    <w:rsid w:val="002C18D2"/>
    <w:rsid w:val="002E0FB7"/>
    <w:rsid w:val="002E71F8"/>
    <w:rsid w:val="00306AF9"/>
    <w:rsid w:val="003427E0"/>
    <w:rsid w:val="00345955"/>
    <w:rsid w:val="00346E8F"/>
    <w:rsid w:val="0036020B"/>
    <w:rsid w:val="00361EBF"/>
    <w:rsid w:val="003633B4"/>
    <w:rsid w:val="003716DA"/>
    <w:rsid w:val="00372271"/>
    <w:rsid w:val="00380A48"/>
    <w:rsid w:val="00381840"/>
    <w:rsid w:val="003A0FCB"/>
    <w:rsid w:val="003A344D"/>
    <w:rsid w:val="003A37E8"/>
    <w:rsid w:val="003B2BF6"/>
    <w:rsid w:val="003C3173"/>
    <w:rsid w:val="003E2C5E"/>
    <w:rsid w:val="003F4560"/>
    <w:rsid w:val="003F61DB"/>
    <w:rsid w:val="00405429"/>
    <w:rsid w:val="00415D4E"/>
    <w:rsid w:val="00426436"/>
    <w:rsid w:val="00435C78"/>
    <w:rsid w:val="00436698"/>
    <w:rsid w:val="00456902"/>
    <w:rsid w:val="00462E6E"/>
    <w:rsid w:val="00466670"/>
    <w:rsid w:val="0046713A"/>
    <w:rsid w:val="0047437C"/>
    <w:rsid w:val="004766BC"/>
    <w:rsid w:val="0048393A"/>
    <w:rsid w:val="00483DE9"/>
    <w:rsid w:val="0049549E"/>
    <w:rsid w:val="004969CD"/>
    <w:rsid w:val="004A62FD"/>
    <w:rsid w:val="004A6BAB"/>
    <w:rsid w:val="004B1316"/>
    <w:rsid w:val="004C597B"/>
    <w:rsid w:val="004D52C0"/>
    <w:rsid w:val="004F1ED0"/>
    <w:rsid w:val="004F7F5C"/>
    <w:rsid w:val="0051075C"/>
    <w:rsid w:val="0053405C"/>
    <w:rsid w:val="005347E4"/>
    <w:rsid w:val="0053648C"/>
    <w:rsid w:val="005403A4"/>
    <w:rsid w:val="00543E0D"/>
    <w:rsid w:val="00563190"/>
    <w:rsid w:val="0057432F"/>
    <w:rsid w:val="00584F84"/>
    <w:rsid w:val="00587BB3"/>
    <w:rsid w:val="00593A5D"/>
    <w:rsid w:val="0059590E"/>
    <w:rsid w:val="005964BE"/>
    <w:rsid w:val="005A295D"/>
    <w:rsid w:val="005C4705"/>
    <w:rsid w:val="005C611E"/>
    <w:rsid w:val="005E1058"/>
    <w:rsid w:val="005E2807"/>
    <w:rsid w:val="005E7731"/>
    <w:rsid w:val="005E793D"/>
    <w:rsid w:val="005F796E"/>
    <w:rsid w:val="00613D07"/>
    <w:rsid w:val="00614E43"/>
    <w:rsid w:val="00620B13"/>
    <w:rsid w:val="00623FF3"/>
    <w:rsid w:val="00627105"/>
    <w:rsid w:val="006272F6"/>
    <w:rsid w:val="00630210"/>
    <w:rsid w:val="00643358"/>
    <w:rsid w:val="00650CA2"/>
    <w:rsid w:val="006712DD"/>
    <w:rsid w:val="00681540"/>
    <w:rsid w:val="006834E3"/>
    <w:rsid w:val="00685980"/>
    <w:rsid w:val="00695F6C"/>
    <w:rsid w:val="006A1DD4"/>
    <w:rsid w:val="006A2391"/>
    <w:rsid w:val="006A46D9"/>
    <w:rsid w:val="006C3386"/>
    <w:rsid w:val="006C3A68"/>
    <w:rsid w:val="006C3F45"/>
    <w:rsid w:val="006D3CC5"/>
    <w:rsid w:val="006D4C80"/>
    <w:rsid w:val="006E091B"/>
    <w:rsid w:val="006E6ACD"/>
    <w:rsid w:val="006E7881"/>
    <w:rsid w:val="006F3F7D"/>
    <w:rsid w:val="0070200C"/>
    <w:rsid w:val="00707730"/>
    <w:rsid w:val="0071764D"/>
    <w:rsid w:val="00721BF6"/>
    <w:rsid w:val="00721FFA"/>
    <w:rsid w:val="0072234B"/>
    <w:rsid w:val="007231D2"/>
    <w:rsid w:val="00723947"/>
    <w:rsid w:val="00725B6D"/>
    <w:rsid w:val="007267AC"/>
    <w:rsid w:val="00730DF2"/>
    <w:rsid w:val="00733E03"/>
    <w:rsid w:val="007367AE"/>
    <w:rsid w:val="00751AAB"/>
    <w:rsid w:val="007550D6"/>
    <w:rsid w:val="007629D3"/>
    <w:rsid w:val="00777E29"/>
    <w:rsid w:val="007A5935"/>
    <w:rsid w:val="007A6F97"/>
    <w:rsid w:val="007D42EE"/>
    <w:rsid w:val="007D57E1"/>
    <w:rsid w:val="007F4092"/>
    <w:rsid w:val="0080364B"/>
    <w:rsid w:val="00805304"/>
    <w:rsid w:val="00812754"/>
    <w:rsid w:val="00813C61"/>
    <w:rsid w:val="0081686F"/>
    <w:rsid w:val="00832002"/>
    <w:rsid w:val="008413A0"/>
    <w:rsid w:val="00842689"/>
    <w:rsid w:val="0084671E"/>
    <w:rsid w:val="00847EE0"/>
    <w:rsid w:val="00851A03"/>
    <w:rsid w:val="00855653"/>
    <w:rsid w:val="00856D92"/>
    <w:rsid w:val="008578D2"/>
    <w:rsid w:val="00864CF7"/>
    <w:rsid w:val="00885F91"/>
    <w:rsid w:val="0089042F"/>
    <w:rsid w:val="00890B9B"/>
    <w:rsid w:val="008A2D16"/>
    <w:rsid w:val="008B0221"/>
    <w:rsid w:val="008B17A6"/>
    <w:rsid w:val="008B4A37"/>
    <w:rsid w:val="008C230F"/>
    <w:rsid w:val="008D5A06"/>
    <w:rsid w:val="008D6A6B"/>
    <w:rsid w:val="008D72BD"/>
    <w:rsid w:val="008F4AE2"/>
    <w:rsid w:val="008F577C"/>
    <w:rsid w:val="00904B2D"/>
    <w:rsid w:val="00905E8D"/>
    <w:rsid w:val="009270E5"/>
    <w:rsid w:val="00932CCF"/>
    <w:rsid w:val="009675DF"/>
    <w:rsid w:val="00973429"/>
    <w:rsid w:val="00983084"/>
    <w:rsid w:val="009833A1"/>
    <w:rsid w:val="00991420"/>
    <w:rsid w:val="00991EA4"/>
    <w:rsid w:val="00993D47"/>
    <w:rsid w:val="00994490"/>
    <w:rsid w:val="00994B5A"/>
    <w:rsid w:val="009C0C86"/>
    <w:rsid w:val="009C4C20"/>
    <w:rsid w:val="009D04B7"/>
    <w:rsid w:val="009D3138"/>
    <w:rsid w:val="009E07C5"/>
    <w:rsid w:val="009E4436"/>
    <w:rsid w:val="009E5FB4"/>
    <w:rsid w:val="009F41CF"/>
    <w:rsid w:val="00A032D5"/>
    <w:rsid w:val="00A033A4"/>
    <w:rsid w:val="00A06C94"/>
    <w:rsid w:val="00A1027E"/>
    <w:rsid w:val="00A13A8B"/>
    <w:rsid w:val="00A15C5A"/>
    <w:rsid w:val="00A17C0E"/>
    <w:rsid w:val="00A2142C"/>
    <w:rsid w:val="00A229CE"/>
    <w:rsid w:val="00A42A30"/>
    <w:rsid w:val="00A43941"/>
    <w:rsid w:val="00A666B3"/>
    <w:rsid w:val="00A72937"/>
    <w:rsid w:val="00A75827"/>
    <w:rsid w:val="00A7663D"/>
    <w:rsid w:val="00A82839"/>
    <w:rsid w:val="00A9212E"/>
    <w:rsid w:val="00A9292B"/>
    <w:rsid w:val="00A92A1F"/>
    <w:rsid w:val="00A94996"/>
    <w:rsid w:val="00AA7766"/>
    <w:rsid w:val="00AB2099"/>
    <w:rsid w:val="00AB21F2"/>
    <w:rsid w:val="00AD0153"/>
    <w:rsid w:val="00AD085F"/>
    <w:rsid w:val="00AE4E3B"/>
    <w:rsid w:val="00AF1284"/>
    <w:rsid w:val="00AF151A"/>
    <w:rsid w:val="00AF2A07"/>
    <w:rsid w:val="00AF378A"/>
    <w:rsid w:val="00AF4E1F"/>
    <w:rsid w:val="00AF66CF"/>
    <w:rsid w:val="00B16BCE"/>
    <w:rsid w:val="00B17A78"/>
    <w:rsid w:val="00B221D1"/>
    <w:rsid w:val="00B338BD"/>
    <w:rsid w:val="00B56B89"/>
    <w:rsid w:val="00B57D81"/>
    <w:rsid w:val="00B6493E"/>
    <w:rsid w:val="00B661C4"/>
    <w:rsid w:val="00B76814"/>
    <w:rsid w:val="00B82B64"/>
    <w:rsid w:val="00B8432D"/>
    <w:rsid w:val="00B922F3"/>
    <w:rsid w:val="00B92598"/>
    <w:rsid w:val="00B9680E"/>
    <w:rsid w:val="00BA0BA4"/>
    <w:rsid w:val="00BB2F78"/>
    <w:rsid w:val="00BB714D"/>
    <w:rsid w:val="00BC3B30"/>
    <w:rsid w:val="00BC5622"/>
    <w:rsid w:val="00BD0DCE"/>
    <w:rsid w:val="00BE1937"/>
    <w:rsid w:val="00C00511"/>
    <w:rsid w:val="00C13773"/>
    <w:rsid w:val="00C3380D"/>
    <w:rsid w:val="00C34BFE"/>
    <w:rsid w:val="00C35257"/>
    <w:rsid w:val="00C42D2B"/>
    <w:rsid w:val="00C459A9"/>
    <w:rsid w:val="00C51F23"/>
    <w:rsid w:val="00C60E36"/>
    <w:rsid w:val="00C63B29"/>
    <w:rsid w:val="00C65909"/>
    <w:rsid w:val="00C678D0"/>
    <w:rsid w:val="00C72F8E"/>
    <w:rsid w:val="00C76E0E"/>
    <w:rsid w:val="00C81D00"/>
    <w:rsid w:val="00C8523A"/>
    <w:rsid w:val="00C85DAF"/>
    <w:rsid w:val="00C86F43"/>
    <w:rsid w:val="00C9605C"/>
    <w:rsid w:val="00CA1675"/>
    <w:rsid w:val="00CA3662"/>
    <w:rsid w:val="00CC1C73"/>
    <w:rsid w:val="00CD6F15"/>
    <w:rsid w:val="00CE7A08"/>
    <w:rsid w:val="00CF3706"/>
    <w:rsid w:val="00CF4207"/>
    <w:rsid w:val="00D04FE5"/>
    <w:rsid w:val="00D20383"/>
    <w:rsid w:val="00D20D1C"/>
    <w:rsid w:val="00D259D4"/>
    <w:rsid w:val="00D259FC"/>
    <w:rsid w:val="00D40092"/>
    <w:rsid w:val="00D46E67"/>
    <w:rsid w:val="00D5282F"/>
    <w:rsid w:val="00D55214"/>
    <w:rsid w:val="00D604DF"/>
    <w:rsid w:val="00D60EEE"/>
    <w:rsid w:val="00D641F3"/>
    <w:rsid w:val="00D646BC"/>
    <w:rsid w:val="00D65AEF"/>
    <w:rsid w:val="00D70572"/>
    <w:rsid w:val="00D74556"/>
    <w:rsid w:val="00D747E2"/>
    <w:rsid w:val="00D77A4D"/>
    <w:rsid w:val="00D91191"/>
    <w:rsid w:val="00D938E3"/>
    <w:rsid w:val="00DA158D"/>
    <w:rsid w:val="00DA1F38"/>
    <w:rsid w:val="00DA56A2"/>
    <w:rsid w:val="00DA7415"/>
    <w:rsid w:val="00DB46DF"/>
    <w:rsid w:val="00DC494F"/>
    <w:rsid w:val="00DC7547"/>
    <w:rsid w:val="00DD088F"/>
    <w:rsid w:val="00DD3A53"/>
    <w:rsid w:val="00DD5939"/>
    <w:rsid w:val="00DE5A86"/>
    <w:rsid w:val="00DE69AF"/>
    <w:rsid w:val="00DF5C4B"/>
    <w:rsid w:val="00DF71CD"/>
    <w:rsid w:val="00E07131"/>
    <w:rsid w:val="00E136A1"/>
    <w:rsid w:val="00E23C0F"/>
    <w:rsid w:val="00E349DA"/>
    <w:rsid w:val="00E37704"/>
    <w:rsid w:val="00E41895"/>
    <w:rsid w:val="00E53DDF"/>
    <w:rsid w:val="00E54C93"/>
    <w:rsid w:val="00E55F21"/>
    <w:rsid w:val="00E62E58"/>
    <w:rsid w:val="00E63D25"/>
    <w:rsid w:val="00E64D85"/>
    <w:rsid w:val="00E70FD1"/>
    <w:rsid w:val="00E760D6"/>
    <w:rsid w:val="00E77945"/>
    <w:rsid w:val="00EA6E48"/>
    <w:rsid w:val="00EB456B"/>
    <w:rsid w:val="00EB4C23"/>
    <w:rsid w:val="00ED75B2"/>
    <w:rsid w:val="00EE0814"/>
    <w:rsid w:val="00EF1467"/>
    <w:rsid w:val="00EF28C9"/>
    <w:rsid w:val="00F2132C"/>
    <w:rsid w:val="00F24921"/>
    <w:rsid w:val="00F27455"/>
    <w:rsid w:val="00F4452F"/>
    <w:rsid w:val="00F473F8"/>
    <w:rsid w:val="00F4747E"/>
    <w:rsid w:val="00F47C42"/>
    <w:rsid w:val="00F57976"/>
    <w:rsid w:val="00F62D3C"/>
    <w:rsid w:val="00F64642"/>
    <w:rsid w:val="00F64C86"/>
    <w:rsid w:val="00F7258F"/>
    <w:rsid w:val="00F80CB8"/>
    <w:rsid w:val="00F82CD0"/>
    <w:rsid w:val="00F84FD3"/>
    <w:rsid w:val="00F8765C"/>
    <w:rsid w:val="00F878C3"/>
    <w:rsid w:val="00F91C88"/>
    <w:rsid w:val="00FA50F9"/>
    <w:rsid w:val="00FA5CD9"/>
    <w:rsid w:val="00FA6A0B"/>
    <w:rsid w:val="00FB0ACE"/>
    <w:rsid w:val="00FC1771"/>
    <w:rsid w:val="00FC36BD"/>
    <w:rsid w:val="094708C9"/>
    <w:rsid w:val="0A7E6559"/>
    <w:rsid w:val="0E366AC1"/>
    <w:rsid w:val="0F7258AD"/>
    <w:rsid w:val="0FA363A7"/>
    <w:rsid w:val="117938E0"/>
    <w:rsid w:val="14FE1721"/>
    <w:rsid w:val="158A38FE"/>
    <w:rsid w:val="1AB1638A"/>
    <w:rsid w:val="1B7D6B98"/>
    <w:rsid w:val="242E7201"/>
    <w:rsid w:val="24DB7250"/>
    <w:rsid w:val="261020E8"/>
    <w:rsid w:val="26FF4EFC"/>
    <w:rsid w:val="288E4BAB"/>
    <w:rsid w:val="2CC77B44"/>
    <w:rsid w:val="2EB71DD9"/>
    <w:rsid w:val="336032E8"/>
    <w:rsid w:val="36E24A8B"/>
    <w:rsid w:val="393501EE"/>
    <w:rsid w:val="39A52B2F"/>
    <w:rsid w:val="39FA36A7"/>
    <w:rsid w:val="3BB02510"/>
    <w:rsid w:val="3EFD0038"/>
    <w:rsid w:val="43FB0970"/>
    <w:rsid w:val="462A704C"/>
    <w:rsid w:val="4AEB7D5C"/>
    <w:rsid w:val="4D99252A"/>
    <w:rsid w:val="55DF03AD"/>
    <w:rsid w:val="578B1A83"/>
    <w:rsid w:val="59ED6D3A"/>
    <w:rsid w:val="59EF72B8"/>
    <w:rsid w:val="5B02435D"/>
    <w:rsid w:val="5B3F036E"/>
    <w:rsid w:val="5DA73F1B"/>
    <w:rsid w:val="5EBE8ADC"/>
    <w:rsid w:val="61530603"/>
    <w:rsid w:val="63D36309"/>
    <w:rsid w:val="6415500C"/>
    <w:rsid w:val="65AF37BD"/>
    <w:rsid w:val="67F74DF4"/>
    <w:rsid w:val="6986344F"/>
    <w:rsid w:val="735DD20D"/>
    <w:rsid w:val="74AE4B8F"/>
    <w:rsid w:val="78264C57"/>
    <w:rsid w:val="79AF0238"/>
    <w:rsid w:val="7AF4F576"/>
    <w:rsid w:val="7BEE6E87"/>
    <w:rsid w:val="7FFF7618"/>
    <w:rsid w:val="B7FFB9A6"/>
    <w:rsid w:val="BC7EDF3B"/>
    <w:rsid w:val="BFFB02F2"/>
    <w:rsid w:val="CBA76D4A"/>
    <w:rsid w:val="E77CCF0D"/>
    <w:rsid w:val="E7F794D2"/>
    <w:rsid w:val="F9FD74F0"/>
    <w:rsid w:val="FB68D114"/>
    <w:rsid w:val="FEEC0F61"/>
    <w:rsid w:val="FFD5623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unhideWhenUsed/>
    <w:qFormat/>
    <w:uiPriority w:val="99"/>
    <w:rPr>
      <w:b/>
      <w:bCs/>
    </w:r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1 字符"/>
    <w:basedOn w:val="10"/>
    <w:link w:val="2"/>
    <w:qFormat/>
    <w:uiPriority w:val="9"/>
    <w:rPr>
      <w:b/>
      <w:bCs/>
      <w:kern w:val="44"/>
      <w:sz w:val="44"/>
      <w:szCs w:val="44"/>
    </w:rPr>
  </w:style>
  <w:style w:type="character" w:customStyle="1" w:styleId="16">
    <w:name w:val="批注文字 字符"/>
    <w:basedOn w:val="10"/>
    <w:link w:val="3"/>
    <w:semiHidden/>
    <w:qFormat/>
    <w:uiPriority w:val="99"/>
  </w:style>
  <w:style w:type="character" w:customStyle="1" w:styleId="17">
    <w:name w:val="批注主题 字符"/>
    <w:basedOn w:val="16"/>
    <w:link w:val="8"/>
    <w:semiHidden/>
    <w:qFormat/>
    <w:uiPriority w:val="99"/>
    <w:rPr>
      <w:b/>
      <w:bCs/>
    </w:rPr>
  </w:style>
  <w:style w:type="character" w:customStyle="1" w:styleId="18">
    <w:name w:val="批注框文本 字符"/>
    <w:basedOn w:val="10"/>
    <w:link w:val="4"/>
    <w:semiHidden/>
    <w:qFormat/>
    <w:uiPriority w:val="99"/>
    <w:rPr>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667</Words>
  <Characters>3808</Characters>
  <Lines>31</Lines>
  <Paragraphs>8</Paragraphs>
  <TotalTime>2</TotalTime>
  <ScaleCrop>false</ScaleCrop>
  <LinksUpToDate>false</LinksUpToDate>
  <CharactersWithSpaces>4467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2024-09-12T21:10:00Z</dcterms:created>
  <dc:creator>Think</dc:creator>
  <cp:lastModifiedBy>guest</cp:lastModifiedBy>
  <cp:lastPrinted>2019-11-30T16:41:00Z</cp:lastPrinted>
  <dcterms:modified xsi:type="dcterms:W3CDTF">2024-09-29T02:42:13Z</dcterms:modified>
  <dc:title>东莞市海绵城市规划建设管理暂行办法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